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left"/>
      </w:pPr>
      <w:r>
        <w:rPr>
          <w:b/>
        </w:rPr>
        <w:t>MAPS Request For Proposal (RFP) Draft 5 - 10MAR2026 - Brief</w:t>
      </w:r>
    </w:p>
    <w:p>
      <w:r>
        <w:t>Company: MCCALL COMMUNICATIONS CONSULTING</w:t>
      </w:r>
    </w:p>
    <w:p>
      <w:pPr>
        <w:pStyle w:val="Heading1"/>
      </w:pPr>
      <w:r>
        <w:t>Decision</w:t>
      </w:r>
    </w:p>
    <w:p>
      <w:r>
        <w:t>Go as Subcontractor</w:t>
      </w:r>
    </w:p>
    <w:p>
      <w:r>
        <w:t>MCC is highly positioned to join a winning team as an SDVOSB subcontractor leveraging its Top Secret Facility Clearance and ISO certifications. A prime bid is blocked by the CMMC Level 2 hard gate and a lack of approved business systems required for the self-scoring matrix.</w:t>
      </w:r>
    </w:p>
    <w:p>
      <w:pPr>
        <w:pStyle w:val="Heading2"/>
      </w:pPr>
      <w:r>
        <w:t>Bid Summary</w:t>
      </w:r>
    </w:p>
    <w:tbl>
      <w:tblPr>
        <w:tblStyle w:val="LightList-Accent1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Recommendation</w:t>
            </w:r>
          </w:p>
        </w:tc>
        <w:tc>
          <w:tcPr>
            <w:tcW w:type="dxa" w:w="5184"/>
          </w:tcPr>
          <w:p>
            <w:r>
              <w:t>Go as Subcontractor</w:t>
            </w:r>
          </w:p>
        </w:tc>
      </w:tr>
      <w:tr>
        <w:tc>
          <w:tcPr>
            <w:tcW w:type="dxa" w:w="5184"/>
          </w:tcPr>
          <w:p>
            <w:r>
              <w:t>Bid posture</w:t>
            </w:r>
          </w:p>
        </w:tc>
        <w:tc>
          <w:tcPr>
            <w:tcW w:type="dxa" w:w="5184"/>
          </w:tcPr>
          <w:p>
            <w:r>
              <w:t>Subcontractor</w:t>
            </w:r>
          </w:p>
        </w:tc>
      </w:tr>
      <w:tr>
        <w:tc>
          <w:tcPr>
            <w:tcW w:type="dxa" w:w="5184"/>
          </w:tcPr>
          <w:p>
            <w:r>
              <w:t>Readiness</w:t>
            </w:r>
          </w:p>
        </w:tc>
        <w:tc>
          <w:tcPr>
            <w:tcW w:type="dxa" w:w="5184"/>
          </w:tcPr>
          <w:p>
            <w:r>
              <w:t>Ready now</w:t>
            </w:r>
          </w:p>
        </w:tc>
      </w:tr>
    </w:tbl>
    <w:p>
      <w:pPr>
        <w:pStyle w:val="Heading2"/>
      </w:pPr>
      <w:r>
        <w:t>Key Decision Drivers</w:t>
      </w:r>
    </w:p>
    <w:p>
      <w:pPr>
        <w:pStyle w:val="ListBullet"/>
      </w:pPr>
      <w:r>
        <w:t>MCC is an ideal SDVOSB partner for Large Businesses, offering a Top Secret Facility Clearance and ISO 9001/27001 certifications.</w:t>
      </w:r>
    </w:p>
    <w:p>
      <w:pPr>
        <w:pStyle w:val="ListBullet"/>
      </w:pPr>
      <w:r>
        <w:t>The Draft 5 scorecard requires CMMC Final Level 2 certification as a pass/fail screening gate, which MCC does not currently hold.</w:t>
      </w:r>
    </w:p>
    <w:p>
      <w:pPr>
        <w:pStyle w:val="ListBullet"/>
      </w:pPr>
      <w:r>
        <w:t>We must verify if the final RFP will strictly require CMMC Level 2 certification for subcontractors at the time of submission.</w:t>
      </w:r>
    </w:p>
    <w:p>
      <w:pPr>
        <w:pStyle w:val="Heading2"/>
      </w:pPr>
      <w:r>
        <w:t>Recommended Capture Actions</w:t>
      </w:r>
    </w:p>
    <w:p>
      <w:pPr>
        <w:pStyle w:val="ListBullet"/>
      </w:pPr>
      <w:r>
        <w:t>Conduct immediate outreach to current prime partners on ITES-3 and ENCORE 3 to discuss MAPS teaming.</w:t>
      </w:r>
    </w:p>
    <w:p>
      <w:pPr>
        <w:pStyle w:val="ListBullet"/>
      </w:pPr>
      <w:r>
        <w:t>Produce a one-page capability-to-scope map that shows where the company fits and where it does not.</w:t>
      </w:r>
    </w:p>
    <w:p>
      <w:pPr>
        <w:pStyle w:val="ListBullet"/>
      </w:pPr>
      <w:r>
        <w:t>Review the Draft 5 Small Business Subcontracting Plan requirements to help Large Business targets understand how MCC boosts their evaluation score.</w:t>
      </w:r>
    </w:p>
    <w:p>
      <w:pPr>
        <w:pStyle w:val="Heading2"/>
      </w:pPr>
      <w:r>
        <w:t>Decision watchouts</w:t>
      </w:r>
    </w:p>
    <w:p>
      <w:pPr>
        <w:pStyle w:val="Heading3"/>
      </w:pPr>
      <w:r>
        <w:t>Why not prime</w:t>
      </w:r>
    </w:p>
    <w:p>
      <w:pPr>
        <w:pStyle w:val="ListBullet"/>
      </w:pPr>
      <w:r>
        <w:t>Lack of Approved Business Systems (Prime blocker): MCC lacks DCAA-approved Accounting, Purchasing, and Property Management systems.</w:t>
      </w:r>
    </w:p>
    <w:p>
      <w:pPr>
        <w:pStyle w:val="ListBullet"/>
      </w:pPr>
      <w:r>
        <w:t>CMMC Level 2 Hard Gate (Prime blocker): Blocks the prime path entirely.</w:t>
      </w:r>
    </w:p>
    <w:p>
      <w:pPr>
        <w:pStyle w:val="Heading3"/>
      </w:pPr>
      <w:r>
        <w:t>Still to verify</w:t>
      </w:r>
    </w:p>
    <w:p>
      <w:pPr>
        <w:pStyle w:val="ListBullet"/>
      </w:pPr>
      <w:r>
        <w:t>Will CMMC Final Level 2 (self) certification be strictly required at the time of proposal submission for all subcontractors, or only for the prime/JV entity? (Open question): Determines if MCC can participate as a subcontractor without holding its own CMMC Level 2 certification at the time of the proposal.</w:t>
      </w:r>
    </w:p>
    <w:p>
      <w:pPr>
        <w:pStyle w:val="Heading2"/>
      </w:pPr>
      <w:r>
        <w:t>Requirements at a Glance</w:t>
      </w:r>
    </w:p>
    <w:p>
      <w:r>
        <w:t>This solicitation includes 26 required obligations and 0 attachment-derived requirements.</w:t>
      </w:r>
    </w:p>
    <w:p>
      <w:r>
        <w:t>Top themes</w:t>
      </w:r>
    </w:p>
    <w:p>
      <w:pPr>
        <w:pStyle w:val="ListBullet"/>
      </w:pPr>
      <w:r>
        <w:t>Ensure proposal remains valid for at least 360 calendar days from receipt.</w:t>
      </w:r>
    </w:p>
    <w:p>
      <w:pPr>
        <w:pStyle w:val="ListBullet"/>
      </w:pPr>
      <w:r>
        <w:t>Each submitted Qualifying Project (QP) must meet minimum criteria: a total contract value of at least $2.5M, at least one year of performance not over four years old (for Large, Emerging Large, and Small Businesses), and align with one of the overarching NAICS codes.</w:t>
      </w:r>
    </w:p>
    <w:p>
      <w:pPr>
        <w:pStyle w:val="ListBullet"/>
      </w:pPr>
      <w:r>
        <w:t>Submit a total Firm-Fixed-Price (FFP) between $50 and $100 for two individuals to attend a one-hour virtual Postaward Conference, documented on Attachment 0001 Cover Letter.</w:t>
      </w:r>
    </w:p>
    <w:p>
      <w:r>
        <w:t>Major submission requirements</w:t>
      </w:r>
    </w:p>
    <w:p>
      <w:pPr>
        <w:pStyle w:val="ListBullet"/>
      </w:pPr>
      <w:r>
        <w:t>Ensure proposal remains valid for at least 360 calendar days from receipt.</w:t>
      </w:r>
    </w:p>
    <w:p>
      <w:pPr>
        <w:pStyle w:val="ListBullet"/>
      </w:pPr>
      <w:r>
        <w:t>Submit a total Firm-Fixed-Price (FFP) between $50 and $100 for two individuals to attend a one-hour virtual Postaward Conference, documented on Attachment 0001 Cover Letter.</w:t>
      </w:r>
    </w:p>
    <w:p>
      <w:pPr>
        <w:pStyle w:val="ListBullet"/>
      </w:pPr>
      <w:r>
        <w:t>Submit the proposal by the end of April 2026.</w:t>
      </w:r>
    </w:p>
    <w:p>
      <w:pPr>
        <w:pStyle w:val="Heading2"/>
      </w:pPr>
      <w:r>
        <w:t>Opportunity Context</w:t>
      </w:r>
    </w:p>
    <w:tbl>
      <w:tblPr>
        <w:tblStyle w:val="LightList-Accent1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Agency / customer</w:t>
            </w:r>
          </w:p>
        </w:tc>
        <w:tc>
          <w:tcPr>
            <w:tcW w:type="dxa" w:w="5184"/>
          </w:tcPr>
          <w:p>
            <w:r>
              <w:t>DEPT OF DEFENSE W6QK ACC-APG</w:t>
            </w:r>
          </w:p>
        </w:tc>
      </w:tr>
      <w:tr>
        <w:tc>
          <w:tcPr>
            <w:tcW w:type="dxa" w:w="5184"/>
          </w:tcPr>
          <w:p>
            <w:r>
              <w:t>Due date</w:t>
            </w:r>
          </w:p>
        </w:tc>
        <w:tc>
          <w:tcPr>
            <w:tcW w:type="dxa" w:w="5184"/>
          </w:tcPr>
          <w:p>
            <w:r>
              <w:t>2028-12-31</w:t>
            </w:r>
          </w:p>
        </w:tc>
      </w:tr>
      <w:tr>
        <w:tc>
          <w:tcPr>
            <w:tcW w:type="dxa" w:w="5184"/>
          </w:tcPr>
          <w:p>
            <w:r>
              <w:t>Place of performance</w:t>
            </w:r>
          </w:p>
        </w:tc>
        <w:tc>
          <w:tcPr>
            <w:tcW w:type="dxa" w:w="5184"/>
          </w:tcPr>
          <w:p>
            <w:r>
              <w:t>Aberdeen Proving Ground, Maryland, UNITED STATES</w:t>
            </w:r>
          </w:p>
        </w:tc>
      </w:tr>
      <w:tr>
        <w:tc>
          <w:tcPr>
            <w:tcW w:type="dxa" w:w="5184"/>
          </w:tcPr>
          <w:p>
            <w:r>
              <w:t>Evaluation basis</w:t>
            </w:r>
          </w:p>
        </w:tc>
        <w:tc>
          <w:tcPr>
            <w:tcW w:type="dxa" w:w="5184"/>
          </w:tcPr>
          <w:p>
            <w:r>
              <w:t>The Government will evaluate proposals against mandatory screening questions and award contracts to the highest-rated technical offerors in each domain</w:t>
            </w:r>
          </w:p>
        </w:tc>
      </w:tr>
    </w:tbl>
    <w:p>
      <w:r>
        <w:t>keep in mind that the stability and 92 continuity of the workforce are essential. The contractor may also be required to support 24/7 93 operations 365 days per year as identified in individual task orders. 94 95 1.4.4 PLACE OF PERFORMANCE 96 The place of performance shall be identified in individual task orders</w:t>
      </w:r>
    </w:p>
    <w:p>
      <w:pPr>
        <w:pStyle w:val="Heading2"/>
      </w:pPr>
      <w:r>
        <w:t>Company Context</w:t>
      </w:r>
    </w:p>
    <w:tbl>
      <w:tblPr>
        <w:tblStyle w:val="LightList-Accent1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Company</w:t>
            </w:r>
          </w:p>
        </w:tc>
        <w:tc>
          <w:tcPr>
            <w:tcW w:type="dxa" w:w="5184"/>
          </w:tcPr>
          <w:p>
            <w:r>
              <w:t>MCCALL COMMUNICATIONS CONSULTING</w:t>
            </w:r>
          </w:p>
        </w:tc>
      </w:tr>
      <w:tr>
        <w:tc>
          <w:tcPr>
            <w:tcW w:type="dxa" w:w="5184"/>
          </w:tcPr>
          <w:p>
            <w:r>
              <w:t>Core capabilities</w:t>
            </w:r>
          </w:p>
        </w:tc>
        <w:tc>
          <w:tcPr>
            <w:tcW w:type="dxa" w:w="5184"/>
          </w:tcPr>
          <w:p>
            <w:r>
              <w:t>Network Design, International Business Development, Capture Management, Price To Win Analysis, Communications Products &amp; Services Logistics, Strategy Planning</w:t>
            </w:r>
          </w:p>
        </w:tc>
      </w:tr>
      <w:tr>
        <w:tc>
          <w:tcPr>
            <w:tcW w:type="dxa" w:w="5184"/>
          </w:tcPr>
          <w:p>
            <w:r>
              <w:t>Strengths</w:t>
            </w:r>
          </w:p>
        </w:tc>
        <w:tc>
          <w:tcPr>
            <w:tcW w:type="dxa" w:w="5184"/>
          </w:tcPr>
          <w:p>
            <w:r>
              <w:t>Service-Disabled Veteran-Owned Small Business, ISO/IEC 27001:2022 certified ISMS, Experience on complex DoD networks</w:t>
            </w:r>
          </w:p>
        </w:tc>
      </w:tr>
      <w:tr>
        <w:tc>
          <w:tcPr>
            <w:tcW w:type="dxa" w:w="5184"/>
          </w:tcPr>
          <w:p>
            <w:r>
              <w:t>Business statuses</w:t>
            </w:r>
          </w:p>
        </w:tc>
        <w:tc>
          <w:tcPr>
            <w:tcW w:type="dxa" w:w="5184"/>
          </w:tcPr>
          <w:p>
            <w:r>
              <w:t>Small business, SDVOSB, VOSB</w:t>
            </w:r>
          </w:p>
        </w:tc>
      </w:tr>
    </w:tbl>
    <w:sectPr w:rsidR="00FC693F" w:rsidRPr="0006063C" w:rsidSect="00034616">
      <w:pgSz w:w="12240" w:h="15840"/>
      <w:pgMar w:top="864" w:right="936" w:bottom="864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