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b/>
        </w:rPr>
        <w:t>USAC RFP: Penetration Testing as a Service - Capture Assessment</w:t>
      </w:r>
    </w:p>
    <w:p>
      <w:r>
        <w:t>Company: Find Evil LLC</w:t>
      </w:r>
    </w:p>
    <w:p>
      <w:r>
        <w:t>While Find Evil LLC offers elite DFIR and multi-cloud forensics expertise, the solicitation focuses heavily on Penetration Testing as a Service. A lack of federal past performance and pending socio-economic certifications limit competitive standing for a prime bid.</w:t>
      </w:r>
    </w:p>
    <w:p>
      <w:pPr>
        <w:pStyle w:val="Heading2"/>
      </w:pPr>
      <w:r>
        <w:t>Why This Call Lands Here</w:t>
      </w:r>
    </w:p>
    <w:p>
      <w:pPr>
        <w:pStyle w:val="ListBullet"/>
      </w:pPr>
      <w:r>
        <w:t>Capability Misalignment: The core requirement is Penetration Testing as a Service (PTaaS), including ethical hacking and web application testing.</w:t>
      </w:r>
    </w:p>
    <w:p>
      <w:pPr>
        <w:pStyle w:val="ListBullet"/>
      </w:pPr>
      <w:r>
        <w:t>Lack of Federal Past Performance: Federal past performance is typically expected to win a prime federal contract of this scope.</w:t>
      </w:r>
    </w:p>
    <w:p>
      <w:pPr>
        <w:pStyle w:val="ListBullet"/>
      </w:pPr>
      <w:r>
        <w:t>Geographic Mismatch: The RFP explicitly requires Contractor Staff to be on-site at USAC Headquarters in Washington, DC at least 2 days per week.</w:t>
      </w:r>
    </w:p>
    <w:p>
      <w:pPr>
        <w:pStyle w:val="ListBullet"/>
      </w:pPr>
      <w:r>
        <w:t>Pending Socio-Economic Status: Active certifications are required to gain set-aside or evaluation advantages.</w:t>
      </w:r>
    </w:p>
    <w:p>
      <w:pPr>
        <w:pStyle w:val="Heading2"/>
      </w:pPr>
      <w:r>
        <w:t>Recommended Capture Actions</w:t>
      </w:r>
    </w:p>
    <w:p>
      <w:pPr>
        <w:pStyle w:val="ListBullet"/>
      </w:pPr>
      <w:r>
        <w:t>Record No Go as Prime; pursue only as subcontractor.</w:t>
      </w:r>
    </w:p>
    <w:p>
      <w:pPr>
        <w:pStyle w:val="ListBullet"/>
      </w:pPr>
      <w:r>
        <w:t>Identify established federal cybersecurity contractors likely to bid on USAC IT-26-027.</w:t>
      </w:r>
    </w:p>
    <w:p>
      <w:pPr>
        <w:pStyle w:val="ListBullet"/>
      </w:pPr>
      <w:r>
        <w:t>Produce a one-page capability-to-scope map that shows where the company fits and where it does not.</w:t>
      </w:r>
    </w:p>
    <w:p>
      <w:pPr>
        <w:pStyle w:val="Heading2"/>
      </w:pPr>
      <w:r>
        <w:t>Requirements That Shape the Proposal</w:t>
      </w:r>
    </w:p>
    <w:p>
      <w:pPr>
        <w:pStyle w:val="Heading3"/>
      </w:pPr>
      <w:r>
        <w:t>Security / Privacy</w:t>
      </w:r>
    </w:p>
    <w:p>
      <w:pPr>
        <w:pStyle w:val="ListBullet"/>
      </w:pPr>
      <w:r>
        <w:t>Contractor must comply with Data Security Laws (FISMA, NIST SP 800-53 Rev 5). Any Cloud Service Offering used must be FedRAMP Authorized at a moderate risk level. (Required) - PRIVACY AND SECURITY ADDENDUM, 2. SECURITY PROVISIONS · p.40</w:t>
      </w:r>
    </w:p>
    <w:p>
      <w:pPr>
        <w:pStyle w:val="ListBullet"/>
      </w:pPr>
      <w:r>
        <w:t>Contractor must notify USAC at incident@USAC.org and Privacy@USAC.org within one (1) hour of becoming aware of an actual or suspected Cybersecurity Incident or Privacy Incident. (Required) - PRIVACY AND SECURITY ADDENDUM, 2.14. Cybersecurity Incidents and Privacy Incidents · p.43</w:t>
      </w:r>
    </w:p>
    <w:p>
      <w:pPr>
        <w:pStyle w:val="ListBullet"/>
      </w:pPr>
      <w:r>
        <w:t>Vendor must submit its insider threat program to USAC's Chief Privacy Officer and Chief Information Security Officer within 90 days of the Effective Date of the Contract. (Required) - PRIVACY AND SECURITY ADDENDUM, 2. SECURITY PROVISIONS · p.41</w:t>
      </w:r>
    </w:p>
    <w:p>
      <w:pPr>
        <w:pStyle w:val="Heading3"/>
      </w:pPr>
      <w:r>
        <w:t>Submission</w:t>
      </w:r>
    </w:p>
    <w:p>
      <w:pPr>
        <w:pStyle w:val="ListBullet"/>
      </w:pPr>
      <w:r>
        <w:t>Proposals must be submitted via email to Procurement@usac.org with a copy to Mustafa.Kamal@usac.org no later than Monday, March 30, 2026, 11:00 AM ET. The subject line must only be 'RFP IT-26-027'. (Required) - SECTION E: INSTRUCTIONS AND EVALUATION CRITERIA, 1. GENERAL, B. PERIOD FOR ACCEPTANCE OF OFFERS · p.51</w:t>
      </w:r>
    </w:p>
    <w:p>
      <w:pPr>
        <w:pStyle w:val="ListBullet"/>
      </w:pPr>
      <w:r>
        <w:t>Proposals must be presented in four separate volumes (Corporate Information, Technical Capability, Past Performance, Price). Each volume must be submitted in PDF format as a separate attachment to a single email. Times New Roman 12-point font is required (minimum 9-point for diagrams/tables). (Required) - SECTION E: INSTRUCTIONS AND EVALUATION CRITERIA, 4. PROPOSAL FORMAT &amp; E. Presentation and Page Limitations · p.52</w:t>
      </w:r>
    </w:p>
    <w:p>
      <w:pPr>
        <w:pStyle w:val="ListBullet"/>
      </w:pPr>
      <w:r>
        <w:t>Each volume must contain a cover page including: Org name, contact name, contact info, Unique Entity ID, date of submittal, a statement verifying the proposal is valid for 120 days, and the signature of a duly authorized representative. (Required) - SECTION E: INSTRUCTIONS AND EVALUATION CRITERIA, 5. PROPOSAL COVER PAGE · p.53</w:t>
      </w:r>
    </w:p>
    <w:p>
      <w:pPr>
        <w:pStyle w:val="Heading3"/>
      </w:pPr>
      <w:r>
        <w:t>Deliverables</w:t>
      </w:r>
    </w:p>
    <w:p>
      <w:pPr>
        <w:pStyle w:val="ListBullet"/>
      </w:pPr>
      <w:r>
        <w:t>Contractor must perform penetration testing on 16 to 20 USAC mission systems at least annually in pre-production environments. Testing includes Ethical Hacking, Web Application, and Application Code testing. (Required) - SECTION B: STATEMENT OF WORK, 5. SCOPE OF WORK AND DELIVERABLES · p.7</w:t>
      </w:r>
    </w:p>
    <w:p>
      <w:pPr>
        <w:pStyle w:val="ListBullet"/>
      </w:pPr>
      <w:r>
        <w:t>Contractor shall offer optional services to conduct three corporate-level social engineering campaigns annually, including Phishing, Vishing, Smishing, and AI emulation. (If Applicable) - SECTION B: STATEMENT OF WORK, 5. SCOPE OF WORK AND DELIVERABLES · p.9</w:t>
      </w:r>
    </w:p>
    <w:p>
      <w:pPr>
        <w:pStyle w:val="ListBullet"/>
      </w:pPr>
      <w:r>
        <w:t>Contractor shall offer optional physical testing for Wi-Fi networks and physical access at USAC's HQ location annually. (If Applicable) - SECTION B: STATEMENT OF WORK, 5. SCOPE OF WORK AND DELIVERABLES · p.9</w:t>
      </w:r>
    </w:p>
    <w:p>
      <w:pPr>
        <w:pStyle w:val="Heading3"/>
      </w:pPr>
      <w:r>
        <w:t>Pricing</w:t>
      </w:r>
    </w:p>
    <w:p>
      <w:pPr>
        <w:pStyle w:val="ListBullet"/>
      </w:pPr>
      <w:r>
        <w:t>Pricing must be submitted using Attachment 1 - Bid Sheet. The proposed price must be a fully loaded firm fixed price including wages, overhead, G&amp;A, taxes, and profit. Travel expenses are not reimbursable. (Required) - SECTION E: INSTRUCTIONS AND EVALUATION CRITERIA, 6. PROPOSAL CONTENT, D. Price Proposal (Volume 4) · p.56</w:t>
      </w:r>
    </w:p>
    <w:p>
      <w:pPr>
        <w:pStyle w:val="ListBullet"/>
      </w:pPr>
      <w:r>
        <w:t>Price the bid sheet by daily rate for the base year and all four option years. (Required) - Attachment 1 - Bid Sheet | | | | | | | |</w:t>
      </w:r>
    </w:p>
    <w:p>
      <w:pPr>
        <w:pStyle w:val="ListBullet"/>
      </w:pPr>
      <w:r>
        <w:t>Provide pricing for small, medium, and large system-test sizes in Attachment 1 – Bid Sheet. (Required) - Attachment 1 - Bid Sheet | | | | | | | |</w:t>
      </w:r>
    </w:p>
    <w:p>
      <w:pPr>
        <w:pStyle w:val="Heading2"/>
      </w:pPr>
      <w:r>
        <w:t>Still to verify</w:t>
      </w:r>
    </w:p>
    <w:p>
      <w:pPr>
        <w:pStyle w:val="ListBullet"/>
      </w:pPr>
      <w:r>
        <w:t>Business-status discrepancy (Needs confirmation): Profile claims active 8(a)/HUBZone/SDB, but Capability Statement says Pending/Eligible</w:t>
      </w:r>
    </w:p>
    <w:p>
      <w:pPr>
        <w:pStyle w:val="Heading2"/>
      </w:pPr>
      <w:r>
        <w:t>Opportunity Context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Agency / customer</w:t>
            </w:r>
          </w:p>
        </w:tc>
        <w:tc>
          <w:tcPr>
            <w:tcW w:type="dxa" w:w="5184"/>
          </w:tcPr>
          <w:p>
            <w:r>
              <w:t>USAC (FCC-associated)</w:t>
            </w:r>
          </w:p>
        </w:tc>
      </w:tr>
      <w:tr>
        <w:tc>
          <w:tcPr>
            <w:tcW w:type="dxa" w:w="5184"/>
          </w:tcPr>
          <w:p>
            <w:r>
              <w:t>Due date</w:t>
            </w:r>
          </w:p>
        </w:tc>
        <w:tc>
          <w:tcPr>
            <w:tcW w:type="dxa" w:w="5184"/>
          </w:tcPr>
          <w:p>
            <w:r>
              <w:t>2026-03-30</w:t>
            </w:r>
          </w:p>
        </w:tc>
      </w:tr>
      <w:tr>
        <w:tc>
          <w:tcPr>
            <w:tcW w:type="dxa" w:w="5184"/>
          </w:tcPr>
          <w:p>
            <w:r>
              <w:t>Place of performance</w:t>
            </w:r>
          </w:p>
        </w:tc>
        <w:tc>
          <w:tcPr>
            <w:tcW w:type="dxa" w:w="5184"/>
          </w:tcPr>
          <w:p>
            <w:r>
              <w:t>Washington, DC 20005</w:t>
            </w:r>
          </w:p>
        </w:tc>
      </w:tr>
    </w:tbl>
    <w:p>
      <w:pPr>
        <w:pStyle w:val="Heading2"/>
      </w:pPr>
      <w:r>
        <w:t>Company Context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Company</w:t>
            </w:r>
          </w:p>
        </w:tc>
        <w:tc>
          <w:tcPr>
            <w:tcW w:type="dxa" w:w="5184"/>
          </w:tcPr>
          <w:p>
            <w:r>
              <w:t>Find Evil LLC</w:t>
            </w:r>
          </w:p>
        </w:tc>
      </w:tr>
      <w:tr>
        <w:tc>
          <w:tcPr>
            <w:tcW w:type="dxa" w:w="5184"/>
          </w:tcPr>
          <w:p>
            <w:r>
              <w:t>Core capabilities</w:t>
            </w:r>
          </w:p>
        </w:tc>
        <w:tc>
          <w:tcPr>
            <w:tcW w:type="dxa" w:w="5184"/>
          </w:tcPr>
          <w:p>
            <w:r>
              <w:t>Digital Forensics and Incident Response (DFIR), Compromise Assessment, Cloud Forensics</w:t>
            </w:r>
          </w:p>
        </w:tc>
      </w:tr>
      <w:tr>
        <w:tc>
          <w:tcPr>
            <w:tcW w:type="dxa" w:w="5184"/>
          </w:tcPr>
          <w:p>
            <w:r>
              <w:t>Strengths</w:t>
            </w:r>
          </w:p>
        </w:tc>
        <w:tc>
          <w:tcPr>
            <w:tcW w:type="dxa" w:w="5184"/>
          </w:tcPr>
          <w:p>
            <w:r>
              <w:t>Elite DFIR capabilities, Multi-cloud forensics</w:t>
            </w:r>
          </w:p>
        </w:tc>
      </w:tr>
      <w:tr>
        <w:tc>
          <w:tcPr>
            <w:tcW w:type="dxa" w:w="5184"/>
          </w:tcPr>
          <w:p>
            <w:r>
              <w:t>Major gaps</w:t>
            </w:r>
          </w:p>
        </w:tc>
        <w:tc>
          <w:tcPr>
            <w:tcW w:type="dxa" w:w="5184"/>
          </w:tcPr>
          <w:p>
            <w:r>
              <w:t>Lack of federal past performance, No DC-based personnel, Pending socio-economic certifications</w:t>
            </w:r>
          </w:p>
        </w:tc>
      </w:tr>
    </w:tbl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