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USAC RFP: Penetration Testing as a Service - Brief</w:t>
      </w:r>
    </w:p>
    <w:p>
      <w:r>
        <w:t>Company: Find Evil LLC</w:t>
      </w:r>
    </w:p>
    <w:p>
      <w:pPr>
        <w:pStyle w:val="Heading1"/>
      </w:pPr>
      <w:r>
        <w:t>Decision</w:t>
      </w:r>
    </w:p>
    <w:p>
      <w:r>
        <w:t>Go as Subcontractor</w:t>
      </w:r>
    </w:p>
    <w:p>
      <w:r>
        <w:t>While Find Evil LLC offers elite DFIR and multi-cloud forensics expertise, the solicitation focuses heavily on Penetration Testing as a Service. A lack of federal past performance and pending socio-economic certifications limit competitive standing for a prime bid.</w:t>
      </w:r>
    </w:p>
    <w:p>
      <w:pPr>
        <w:pStyle w:val="Heading2"/>
      </w:pPr>
      <w:r>
        <w:t>Bid Summary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Recommendation</w:t>
            </w:r>
          </w:p>
        </w:tc>
        <w:tc>
          <w:tcPr>
            <w:tcW w:type="dxa" w:w="5184"/>
          </w:tcPr>
          <w:p>
            <w:r>
              <w:t>Go as Subcontractor</w:t>
            </w:r>
          </w:p>
        </w:tc>
      </w:tr>
      <w:tr>
        <w:tc>
          <w:tcPr>
            <w:tcW w:type="dxa" w:w="5184"/>
          </w:tcPr>
          <w:p>
            <w:r>
              <w:t>Bid posture</w:t>
            </w:r>
          </w:p>
        </w:tc>
        <w:tc>
          <w:tcPr>
            <w:tcW w:type="dxa" w:w="5184"/>
          </w:tcPr>
          <w:p>
            <w:r>
              <w:t>Subcontractor</w:t>
            </w:r>
          </w:p>
        </w:tc>
      </w:tr>
      <w:tr>
        <w:tc>
          <w:tcPr>
            <w:tcW w:type="dxa" w:w="5184"/>
          </w:tcPr>
          <w:p>
            <w:r>
              <w:t>Readiness</w:t>
            </w:r>
          </w:p>
        </w:tc>
        <w:tc>
          <w:tcPr>
            <w:tcW w:type="dxa" w:w="5184"/>
          </w:tcPr>
          <w:p>
            <w:r>
              <w:t>Needs validation</w:t>
            </w:r>
          </w:p>
        </w:tc>
      </w:tr>
    </w:tbl>
    <w:p>
      <w:pPr>
        <w:pStyle w:val="Heading2"/>
      </w:pPr>
      <w:r>
        <w:t>Key Decision Drivers</w:t>
      </w:r>
    </w:p>
    <w:p>
      <w:pPr>
        <w:pStyle w:val="ListBullet"/>
      </w:pPr>
      <w:r>
        <w:t>The core requirement is Penetration Testing as a Service (PTaaS), including ethical hacking and web application testing.</w:t>
      </w:r>
    </w:p>
    <w:p>
      <w:pPr>
        <w:pStyle w:val="ListBullet"/>
      </w:pPr>
      <w:r>
        <w:t>Federal past performance is typically expected to win a prime federal contract of this scope.</w:t>
      </w:r>
    </w:p>
    <w:p>
      <w:pPr>
        <w:pStyle w:val="ListBullet"/>
      </w:pPr>
      <w:r>
        <w:t>The RFP explicitly requires Contractor Staff to be on-site at USAC Headquarters in Washington, DC at least 2 days per week.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Record No Go as Prime; pursue only as subcontractor.</w:t>
      </w:r>
    </w:p>
    <w:p>
      <w:pPr>
        <w:pStyle w:val="ListBullet"/>
      </w:pPr>
      <w:r>
        <w:t>Identify established federal cybersecurity contractors likely to bid on USAC IT-26-027.</w:t>
      </w:r>
    </w:p>
    <w:p>
      <w:pPr>
        <w:pStyle w:val="ListBullet"/>
      </w:pPr>
      <w:r>
        <w:t>Produce a one-page capability-to-scope map that shows where the company fits and where it does not.</w:t>
      </w:r>
    </w:p>
    <w:p>
      <w:pPr>
        <w:pStyle w:val="Heading2"/>
      </w:pPr>
      <w:r>
        <w:t>Decision watchouts</w:t>
      </w:r>
    </w:p>
    <w:p>
      <w:pPr>
        <w:pStyle w:val="Heading3"/>
      </w:pPr>
      <w:r>
        <w:t>Why not prime</w:t>
      </w:r>
    </w:p>
    <w:p>
      <w:pPr>
        <w:pStyle w:val="ListBullet"/>
      </w:pPr>
      <w:r>
        <w:t>Unresolved On-Site Hybrid Work Requirement (Prime blocker): On-Site Hybrid Work Requirement is still unresolved in the validated evidence set.</w:t>
      </w:r>
    </w:p>
    <w:p>
      <w:pPr>
        <w:pStyle w:val="ListBullet"/>
      </w:pPr>
      <w:r>
        <w:t>Prime-delivery mismatch (Prime blocker): The current evidence points to a gap between the solicitation's PTaaS program shape and the company's documented prime-delivery proof.</w:t>
      </w:r>
    </w:p>
    <w:p>
      <w:pPr>
        <w:pStyle w:val="ListBullet"/>
      </w:pPr>
      <w:r>
        <w:t>Capability Misalignment (Prime blocker): The core requirement is Penetration Testing as a Service (PTaaS), including ethical hacking and web application testing.</w:t>
      </w:r>
    </w:p>
    <w:p>
      <w:pPr>
        <w:pStyle w:val="Heading3"/>
      </w:pPr>
      <w:r>
        <w:t>Still to verify</w:t>
      </w:r>
    </w:p>
    <w:p>
      <w:pPr>
        <w:pStyle w:val="ListBullet"/>
      </w:pPr>
      <w:r>
        <w:t>Business-status discrepancy (Needs confirmation): Profile claims active 8(a)/HUBZone/SDB, but Capability Statement says Pending/Eligible</w:t>
      </w:r>
    </w:p>
    <w:p>
      <w:pPr>
        <w:pStyle w:val="Heading2"/>
      </w:pPr>
      <w:r>
        <w:t>Requirements at a Glance</w:t>
      </w:r>
    </w:p>
    <w:p>
      <w:r>
        <w:t>This solicitation includes 34 required obligations and 5 attachment-derived requirements.</w:t>
      </w:r>
    </w:p>
    <w:p>
      <w:r>
        <w:t>Top themes</w:t>
      </w:r>
    </w:p>
    <w:p>
      <w:pPr>
        <w:pStyle w:val="ListBullet"/>
      </w:pPr>
      <w:r>
        <w:t>Proposals must be submitted via email to Procurement@usac.org with a copy to Mustafa.Kamal@usac.org no later than Monday, March 30, 2026, 11:00 AM ET. The subject line must only be 'RFP IT-26-027'.</w:t>
      </w:r>
    </w:p>
    <w:p>
      <w:pPr>
        <w:pStyle w:val="ListBullet"/>
      </w:pPr>
      <w:r>
        <w:t>Proposals must be presented in four separate volumes (Corporate Information, Technical Capability, Past Performance, Price). Each volume must be submitted in PDF format as a separate attachment to a single email. Times New Roman 12-point font is required (minimum 9-point for diagrams/tables).</w:t>
      </w:r>
    </w:p>
    <w:p>
      <w:pPr>
        <w:pStyle w:val="ListBullet"/>
      </w:pPr>
      <w:r>
        <w:t>Each volume must contain a cover page including: Org name, contact name, contact info, Unique Entity ID, date of submittal, a statement verifying the proposal is valid for 120 days, and the signature of a duly authorized representative.</w:t>
      </w:r>
    </w:p>
    <w:p>
      <w:r>
        <w:t>Major submission requirements</w:t>
      </w:r>
    </w:p>
    <w:p>
      <w:pPr>
        <w:pStyle w:val="ListBullet"/>
      </w:pPr>
      <w:r>
        <w:t>Proposals must be submitted via email to Procurement@usac.org with a copy to Mustafa.Kamal@usac.org no later than Monday, March 30, 2026, 11:00 AM ET. The subject line must only be 'RFP IT-26-027'.</w:t>
      </w:r>
    </w:p>
    <w:p>
      <w:pPr>
        <w:pStyle w:val="ListBullet"/>
      </w:pPr>
      <w:r>
        <w:t>Proposals must be presented in four separate volumes (Corporate Information, Technical Capability, Past Performance, Price). Each volume must be submitted in PDF format as a separate attachment to a single email. Times New Roman 12-point font is required (minimum 9-point for diagrams/tables).</w:t>
      </w:r>
    </w:p>
    <w:p>
      <w:pPr>
        <w:pStyle w:val="ListBullet"/>
      </w:pPr>
      <w:r>
        <w:t>Each volume must contain a cover page including: Org name, contact name, contact info, Unique Entity ID, date of submittal, a statement verifying the proposal is valid for 120 days, and the signature of a duly authorized representative.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Agency / customer</w:t>
            </w:r>
          </w:p>
        </w:tc>
        <w:tc>
          <w:tcPr>
            <w:tcW w:type="dxa" w:w="5184"/>
          </w:tcPr>
          <w:p>
            <w:r>
              <w:t>USAC (FCC-associated)</w:t>
            </w:r>
          </w:p>
        </w:tc>
      </w:tr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2026-03-30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Washington, DC 20005</w:t>
            </w:r>
          </w:p>
        </w:tc>
      </w:tr>
    </w:tbl>
    <w:p>
      <w:r>
        <w:t>Penetration Testing as a Service (PTaaS) across 16-20 core systems, including ethical hacking, web app, and API testing.</w:t>
      </w:r>
    </w:p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Find Evil LLC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Digital Forensics and Incident Response (DFIR), Compromise Assessment, Cloud Forensics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Elite DFIR capabilities, Multi-cloud forensics</w:t>
            </w:r>
          </w:p>
        </w:tc>
      </w:tr>
      <w:tr>
        <w:tc>
          <w:tcPr>
            <w:tcW w:type="dxa" w:w="5184"/>
          </w:tcPr>
          <w:p>
            <w:r>
              <w:t>Major gaps</w:t>
            </w:r>
          </w:p>
        </w:tc>
        <w:tc>
          <w:tcPr>
            <w:tcW w:type="dxa" w:w="5184"/>
          </w:tcPr>
          <w:p>
            <w:r>
              <w:t>Lack of federal past performance, No DC-based personnel, Pending socio-economic certifications</w:t>
            </w:r>
          </w:p>
        </w:tc>
      </w:tr>
      <w:tr>
        <w:tc>
          <w:tcPr>
            <w:tcW w:type="dxa" w:w="5184"/>
          </w:tcPr>
          <w:p>
            <w:r>
              <w:t>Business statuses</w:t>
            </w:r>
          </w:p>
        </w:tc>
        <w:tc>
          <w:tcPr>
            <w:tcW w:type="dxa" w:w="5184"/>
          </w:tcPr>
          <w:p>
            <w:r>
              <w:t>Small business, Profile claims active 8(a)/HUBZone/SDB, but Capability Statement says Pending/Eligible, 8(a) is claimed in the canonical company profile but not corroborated in SBA summary, HUBZone is claimed in the canonical company profile but not corroborated in SBA summary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