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left"/>
      </w:pPr>
      <w:r>
        <w:rPr>
          <w:b/>
        </w:rPr>
        <w:t>Marketplace for Acquisition of Professional Services (MAPS) - Capture Assessment</w:t>
      </w:r>
    </w:p>
    <w:p>
      <w:r>
        <w:t>Company: THREAT TEC, LLC</w:t>
      </w:r>
    </w:p>
    <w:p>
      <w:r>
        <w:t>Threat Tec's specialized threat emulation expertise and strong DoD past performance make it an attractive subcontracting partner for the RDT&amp;E and Operational Services domains. However, missing Facility Clearance and CMMC Level 2 certifications completely block a prime pursuit.</w:t>
      </w:r>
    </w:p>
    <w:p>
      <w:pPr>
        <w:pStyle w:val="Heading2"/>
      </w:pPr>
      <w:r>
        <w:t>Why This Call Lands Here</w:t>
      </w:r>
    </w:p>
    <w:p>
      <w:pPr>
        <w:pStyle w:val="ListBullet"/>
      </w:pPr>
      <w:r>
        <w:t>Past Performance: Strong past performance makes the company an attractive subcontractor.</w:t>
      </w:r>
    </w:p>
    <w:p>
      <w:pPr>
        <w:pStyle w:val="ListBullet"/>
      </w:pPr>
      <w:r>
        <w:t>Scope Alignment: MAPS requires broad enterprise IT and professional services capabilities to prime.</w:t>
      </w:r>
    </w:p>
    <w:p>
      <w:pPr>
        <w:pStyle w:val="ListBullet"/>
      </w:pPr>
      <w:r>
        <w:t>Facility Clearance: Active Secret Facility Clearance is an explicit hard gate for all MAPS offerors.</w:t>
      </w:r>
    </w:p>
    <w:p>
      <w:pPr>
        <w:pStyle w:val="ListBullet"/>
      </w:pPr>
      <w:r>
        <w:t>CMMC Certification: CMMC Level 2 is a hard gate requirement for Small Businesses.</w:t>
      </w:r>
    </w:p>
    <w:p>
      <w:pPr>
        <w:pStyle w:val="Heading2"/>
      </w:pPr>
      <w:r>
        <w:t>Recommended Capture Actions</w:t>
      </w:r>
    </w:p>
    <w:p>
      <w:pPr>
        <w:pStyle w:val="ListBullet"/>
      </w:pPr>
      <w:r>
        <w:t>Conduct an immediate internal review to confirm the status of the company's Facility Clearance and CMMC Level 2 compliance.</w:t>
      </w:r>
    </w:p>
    <w:p>
      <w:pPr>
        <w:pStyle w:val="ListBullet"/>
      </w:pPr>
      <w:r>
        <w:t>Analyze the MAPS RDT&amp;E and Engineering/Operational Services domains to map Threat Tec's past performance to Qualifying Project (QP) criteria.</w:t>
      </w:r>
    </w:p>
    <w:p>
      <w:pPr>
        <w:pStyle w:val="ListBullet"/>
      </w:pPr>
      <w:r>
        <w:t>Identify and initiate outreach to top prospective MAPS primes (especially RS3 and ITES-3S incumbents) to explore subcontracting opportunities.</w:t>
      </w:r>
    </w:p>
    <w:p>
      <w:pPr>
        <w:pStyle w:val="Heading2"/>
      </w:pPr>
      <w:r>
        <w:t>Requirements That Shape the Proposal</w:t>
      </w:r>
    </w:p>
    <w:p>
      <w:pPr>
        <w:pStyle w:val="Heading3"/>
      </w:pPr>
      <w:r>
        <w:t>Security / Privacy</w:t>
      </w:r>
    </w:p>
    <w:p>
      <w:pPr>
        <w:pStyle w:val="ListBullet"/>
      </w:pPr>
      <w:r>
        <w:t>Provide supporting documentation showing the bidding entity has an active Secret facility clearance when the selected MAPS lane requires it. (Required) - | | Section 01 - Screening Questions | | | | | | | | | | |</w:t>
      </w:r>
    </w:p>
    <w:p>
      <w:pPr>
        <w:pStyle w:val="ListBullet"/>
      </w:pPr>
      <w:r>
        <w:t>Provide the required CMMC certification evidence, including the SPRS screenshot or certificate evidence specified by the applicable MAPS scorecard lane. (Required) - | | | | | | [Please Select One] | | | | |</w:t>
      </w:r>
    </w:p>
    <w:p>
      <w:pPr>
        <w:pStyle w:val="ListBullet"/>
      </w:pPr>
      <w:r>
        <w:t>Embassy, and that Contractor and subcontractor personnel who are third country nationals comply with any security related requirements of the Embassy of their nationality. (Required) - OUTSIDE THE UNITED STATES (DEVIATION 2026-O0041) (FEB 2026) · p.167</w:t>
      </w:r>
    </w:p>
    <w:p>
      <w:pPr>
        <w:pStyle w:val="Heading3"/>
      </w:pPr>
      <w:r>
        <w:t>Technical</w:t>
      </w:r>
    </w:p>
    <w:p>
      <w:pPr>
        <w:pStyle w:val="ListBullet"/>
      </w:pPr>
      <w:r>
        <w:t>If a proposed QP is identified as an Outcome-Based QP, the Offeror shall complete only the Schedule and Completeness evaluation criteria on their applicable Attachment 0002 - Scorecard. (Required) - COMPLETENESS · p.285</w:t>
      </w:r>
    </w:p>
    <w:p>
      <w:pPr>
        <w:pStyle w:val="ListBullet"/>
      </w:pPr>
      <w:r>
        <w:t>L.2.2 VOLUME II - SCORECARD (ATTACHMENT 0002) Each Offeror shall calculate and submit a numerical self-score as part of its proposal Attachment. (Required) - L.2.2 VOLUME II - SCORECARD (ATTACHMENT 0002) · p.274</w:t>
      </w:r>
    </w:p>
    <w:p>
      <w:pPr>
        <w:pStyle w:val="ListBullet"/>
      </w:pPr>
      <w:r>
        <w:t>NOTE: All Screening Question Certifications shall be valid at the time of proposal. (Required) - M.3 EVALUATION OF SCREENING QUESTIONS · p.318</w:t>
      </w:r>
    </w:p>
    <w:p>
      <w:pPr>
        <w:pStyle w:val="Heading3"/>
      </w:pPr>
      <w:r>
        <w:t>Contractual / Admin</w:t>
      </w:r>
    </w:p>
    <w:p>
      <w:pPr>
        <w:pStyle w:val="ListBullet"/>
      </w:pPr>
      <w:r>
        <w:t>(4) If the Contractor receives the Contracting Officer's final determination of material weaknesses, the Contractor shall, within 45 days of receipt of the final determination, either correct the material weaknesses or submit an acceptable corrective action plan showing milestones and actions to eliminate the material weaknesses. (Required) - [[PAGE 209]] · p.209</w:t>
      </w:r>
    </w:p>
    <w:p>
      <w:pPr>
        <w:pStyle w:val="ListBullet"/>
      </w:pPr>
      <w:r>
        <w:t>[[PAGE 21]] Section G - Contract Administration Data G.1 Contractor Performance Assessment Reporting System (CPARS) G.1.1 Order-Level CPARS The IDIQ Contracting Officer shall not administer or evaluate Task Order performance. (Required) - [[PAGE 21]]</w:t>
      </w:r>
    </w:p>
    <w:p>
      <w:pPr>
        <w:pStyle w:val="ListBullet"/>
      </w:pPr>
      <w:r>
        <w:t>(1) As required by sections 744 and 745 of Division E of the Consolidated and Further Continuing Appropriations Act, 2015 (Pub. (Required) - [[PAGE 250]] · p.250</w:t>
      </w:r>
    </w:p>
    <w:p>
      <w:pPr>
        <w:pStyle w:val="Heading3"/>
      </w:pPr>
      <w:r>
        <w:t>Key Personnel / Staffing</w:t>
      </w:r>
    </w:p>
    <w:p>
      <w:pPr>
        <w:pStyle w:val="ListBullet"/>
      </w:pPr>
      <w:r>
        <w:t>1.4.4 PLACE OF PERFORMANCE The place of performance shall be identified in individual task orders. (Required) - 1.4.4 PLACE OF PERFORMANCE · p.5</w:t>
      </w:r>
    </w:p>
    <w:p>
      <w:pPr>
        <w:pStyle w:val="ListBullet"/>
      </w:pPr>
      <w:r>
        <w:t>(2)(i) The Contractor shall arrange for its personnel interacting with detainees to— (A) Receive the training specified in paragraph (b)(1) of this clause—. (Required) - (DEVIATION 2026-O0023) (FEB 2026) · p.211</w:t>
      </w:r>
    </w:p>
    <w:p>
      <w:pPr>
        <w:pStyle w:val="ListBullet"/>
      </w:pPr>
      <w:r>
        <w:t>US based contractor employees and associated sub- contractor employees will submit an Isolated Personnel Report prior to deployment, in accordance with AR 525-28, Personnel Recovery. (Required) - 4.2.2 AT AWARNESS TRAINING FOR CONTRACTOR PERSONNEL TRAVELING OVERSEAS · p.11</w:t>
      </w:r>
    </w:p>
    <w:p>
      <w:pPr>
        <w:pStyle w:val="Heading2"/>
      </w:pPr>
      <w:r>
        <w:t>Still to verify</w:t>
      </w:r>
    </w:p>
    <w:p>
      <w:pPr>
        <w:pStyle w:val="ListBullet"/>
      </w:pPr>
      <w:r>
        <w:t>Will the Government allow Small Businesses to rely on a prime/subcontractor team approach to satisfy the Facility Clearance and CMMC Level 2 screening requirements? (Open question): If teaming allows the prime to cover these requirements, Threat Tec could potentially participate in a Joint Venture; otherwise, they are strictly limited to a traditional subcontracting role.</w:t>
      </w:r>
    </w:p>
    <w:p>
      <w:pPr>
        <w:pStyle w:val="Heading2"/>
      </w:pPr>
      <w:r>
        <w:t>Opportunity Context</w:t>
      </w:r>
    </w:p>
    <w:tbl>
      <w:tblPr>
        <w:tblStyle w:val="LightList-Accent1"/>
        <w:tblW w:type="auto" w:w="0"/>
        <w:tblLook w:firstColumn="1" w:firstRow="1" w:lastColumn="0" w:lastRow="0" w:noHBand="0" w:noVBand="1" w:val="04A0"/>
      </w:tblPr>
      <w:tblGrid>
        <w:gridCol w:w="5184"/>
        <w:gridCol w:w="5184"/>
      </w:tblGrid>
      <w:tr>
        <w:tc>
          <w:tcPr>
            <w:tcW w:type="dxa" w:w="5184"/>
          </w:tcPr>
          <w:p>
            <w:r>
              <w:t>Agency / customer</w:t>
            </w:r>
          </w:p>
        </w:tc>
        <w:tc>
          <w:tcPr>
            <w:tcW w:type="dxa" w:w="5184"/>
          </w:tcPr>
          <w:p>
            <w:r>
              <w:t>Department of the Army</w:t>
            </w:r>
          </w:p>
        </w:tc>
      </w:tr>
      <w:tr>
        <w:tc>
          <w:tcPr>
            <w:tcW w:type="dxa" w:w="5184"/>
          </w:tcPr>
          <w:p>
            <w:r>
              <w:t>Due date</w:t>
            </w:r>
          </w:p>
        </w:tc>
        <w:tc>
          <w:tcPr>
            <w:tcW w:type="dxa" w:w="5184"/>
          </w:tcPr>
          <w:p>
            <w:r>
              <w:t>2026-05-08</w:t>
            </w:r>
          </w:p>
        </w:tc>
      </w:tr>
      <w:tr>
        <w:tc>
          <w:tcPr>
            <w:tcW w:type="dxa" w:w="5184"/>
          </w:tcPr>
          <w:p>
            <w:r>
              <w:t>Place of performance</w:t>
            </w:r>
          </w:p>
        </w:tc>
        <w:tc>
          <w:tcPr>
            <w:tcW w:type="dxa" w:w="5184"/>
          </w:tcPr>
          <w:p>
            <w:r>
              <w:t>Aberdeen Proving Ground, Maryland, UNITED STATES</w:t>
            </w:r>
          </w:p>
        </w:tc>
      </w:tr>
      <w:tr>
        <w:tc>
          <w:tcPr>
            <w:tcW w:type="dxa" w:w="5184"/>
          </w:tcPr>
          <w:p>
            <w:r>
              <w:t>Contract type</w:t>
            </w:r>
          </w:p>
        </w:tc>
        <w:tc>
          <w:tcPr>
            <w:tcW w:type="dxa" w:w="5184"/>
          </w:tcPr>
          <w:p>
            <w:r>
              <w:t>IDIQ</w:t>
            </w:r>
          </w:p>
        </w:tc>
      </w:tr>
      <w:tr>
        <w:tc>
          <w:tcPr>
            <w:tcW w:type="dxa" w:w="5184"/>
          </w:tcPr>
          <w:p>
            <w:r>
              <w:t>Evaluation basis</w:t>
            </w:r>
          </w:p>
        </w:tc>
        <w:tc>
          <w:tcPr>
            <w:tcW w:type="dxa" w:w="5184"/>
          </w:tcPr>
          <w:p>
            <w:r>
              <w:t>Highest Rated Technical Offerors with a fair and reasonable price. Phase 1: Initial Ranking Based on Self-Scores. Phase 2: Verification Review and Downward Adjustments</w:t>
            </w:r>
          </w:p>
        </w:tc>
      </w:tr>
    </w:tbl>
    <w:p>
      <w:pPr>
        <w:pStyle w:val="Heading2"/>
      </w:pPr>
      <w:r>
        <w:t>Company Context</w:t>
      </w:r>
    </w:p>
    <w:tbl>
      <w:tblPr>
        <w:tblStyle w:val="LightList-Accent1"/>
        <w:tblW w:type="auto" w:w="0"/>
        <w:tblLook w:firstColumn="1" w:firstRow="1" w:lastColumn="0" w:lastRow="0" w:noHBand="0" w:noVBand="1" w:val="04A0"/>
      </w:tblPr>
      <w:tblGrid>
        <w:gridCol w:w="5184"/>
        <w:gridCol w:w="5184"/>
      </w:tblGrid>
      <w:tr>
        <w:tc>
          <w:tcPr>
            <w:tcW w:type="dxa" w:w="5184"/>
          </w:tcPr>
          <w:p>
            <w:r>
              <w:t>Company</w:t>
            </w:r>
          </w:p>
        </w:tc>
        <w:tc>
          <w:tcPr>
            <w:tcW w:type="dxa" w:w="5184"/>
          </w:tcPr>
          <w:p>
            <w:r>
              <w:t>THREAT TEC, LLC</w:t>
            </w:r>
          </w:p>
        </w:tc>
      </w:tr>
      <w:tr>
        <w:tc>
          <w:tcPr>
            <w:tcW w:type="dxa" w:w="5184"/>
          </w:tcPr>
          <w:p>
            <w:r>
              <w:t>Core capabilities</w:t>
            </w:r>
          </w:p>
        </w:tc>
        <w:tc>
          <w:tcPr>
            <w:tcW w:type="dxa" w:w="5184"/>
          </w:tcPr>
          <w:p>
            <w:r>
              <w:t>Intelligence and Threat Emulation, Data and Visualization, Mission Engineering, Wargaming and Simulation, Vehicle VISMOD</w:t>
            </w:r>
          </w:p>
        </w:tc>
      </w:tr>
      <w:tr>
        <w:tc>
          <w:tcPr>
            <w:tcW w:type="dxa" w:w="5184"/>
          </w:tcPr>
          <w:p>
            <w:r>
              <w:t>Strengths</w:t>
            </w:r>
          </w:p>
        </w:tc>
        <w:tc>
          <w:tcPr>
            <w:tcW w:type="dxa" w:w="5184"/>
          </w:tcPr>
          <w:p>
            <w:r>
              <w:t>Inc. 5000 Honoree (4 consecutive years), 2025 Vet100 Honoree, 2026 Top Virginia Employer for Interns, Legitimate near peer sparring partner</w:t>
            </w:r>
          </w:p>
        </w:tc>
      </w:tr>
      <w:tr>
        <w:tc>
          <w:tcPr>
            <w:tcW w:type="dxa" w:w="5184"/>
          </w:tcPr>
          <w:p>
            <w:r>
              <w:t>Major gaps</w:t>
            </w:r>
          </w:p>
        </w:tc>
        <w:tc>
          <w:tcPr>
            <w:tcW w:type="dxa" w:w="5184"/>
          </w:tcPr>
          <w:p>
            <w:r>
              <w:t>No documented clearances</w:t>
            </w:r>
          </w:p>
        </w:tc>
      </w:tr>
    </w:tbl>
    <w:sectPr w:rsidR="00FC693F" w:rsidRPr="0006063C" w:rsidSect="00034616">
      <w:pgSz w:w="12240" w:h="15840"/>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