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Marketplace for Acquisition of Professional Services (MAPS) - Brief</w:t>
      </w:r>
    </w:p>
    <w:p>
      <w:r>
        <w:t>Company: THREAT TEC, LLC</w:t>
      </w:r>
    </w:p>
    <w:p>
      <w:pPr>
        <w:pStyle w:val="Heading1"/>
      </w:pPr>
      <w:r>
        <w:t>Decision</w:t>
      </w:r>
    </w:p>
    <w:p>
      <w:r>
        <w:t>Go as Subcontractor</w:t>
      </w:r>
    </w:p>
    <w:p>
      <w:r>
        <w:t>Threat Tec's specialized threat emulation expertise and strong DoD past performance make it an attractive subcontracting partner for the RDT&amp;E and Operational Services domains. However, missing Facility Clearance and CMMC Level 2 certifications completely block a prime pursuit.</w:t>
      </w:r>
    </w:p>
    <w:p>
      <w:pPr>
        <w:pStyle w:val="Heading2"/>
      </w:pPr>
      <w:r>
        <w:t>Bid Summary</w:t>
      </w:r>
    </w:p>
    <w:tbl>
      <w:tblPr>
        <w:tblStyle w:val="LightList-Accent1"/>
        <w:tblW w:type="auto" w:w="0"/>
        <w:tblLook w:firstColumn="1" w:firstRow="1" w:lastColumn="0" w:lastRow="0" w:noHBand="0" w:noVBand="1" w:val="04A0"/>
      </w:tblPr>
      <w:tblGrid>
        <w:gridCol w:w="5184"/>
        <w:gridCol w:w="5184"/>
      </w:tblGrid>
      <w:tr>
        <w:tc>
          <w:tcPr>
            <w:tcW w:type="dxa" w:w="5184"/>
          </w:tcPr>
          <w:p>
            <w:r>
              <w:t>Recommendation</w:t>
            </w:r>
          </w:p>
        </w:tc>
        <w:tc>
          <w:tcPr>
            <w:tcW w:type="dxa" w:w="5184"/>
          </w:tcPr>
          <w:p>
            <w:r>
              <w:t>Go as Subcontractor</w:t>
            </w:r>
          </w:p>
        </w:tc>
      </w:tr>
      <w:tr>
        <w:tc>
          <w:tcPr>
            <w:tcW w:type="dxa" w:w="5184"/>
          </w:tcPr>
          <w:p>
            <w:r>
              <w:t>Bid posture</w:t>
            </w:r>
          </w:p>
        </w:tc>
        <w:tc>
          <w:tcPr>
            <w:tcW w:type="dxa" w:w="5184"/>
          </w:tcPr>
          <w:p>
            <w:r>
              <w:t>Subcontractor</w:t>
            </w:r>
          </w:p>
        </w:tc>
      </w:tr>
      <w:tr>
        <w:tc>
          <w:tcPr>
            <w:tcW w:type="dxa" w:w="5184"/>
          </w:tcPr>
          <w:p>
            <w:r>
              <w:t>Readiness</w:t>
            </w:r>
          </w:p>
        </w:tc>
        <w:tc>
          <w:tcPr>
            <w:tcW w:type="dxa" w:w="5184"/>
          </w:tcPr>
          <w:p>
            <w:r>
              <w:t>Needs validation</w:t>
            </w:r>
          </w:p>
        </w:tc>
      </w:tr>
    </w:tbl>
    <w:p>
      <w:pPr>
        <w:pStyle w:val="Heading2"/>
      </w:pPr>
      <w:r>
        <w:t>Key Decision Drivers</w:t>
      </w:r>
    </w:p>
    <w:p>
      <w:pPr>
        <w:pStyle w:val="ListBullet"/>
      </w:pPr>
      <w:r>
        <w:t>Over $170M in DoD past performance and niche threat emulation capabilities provide strong Qualifying Projects for a prime.</w:t>
      </w:r>
    </w:p>
    <w:p>
      <w:pPr>
        <w:pStyle w:val="ListBullet"/>
      </w:pPr>
      <w:r>
        <w:t>Mandatory Active Secret Facility Clearance, CMMC Level 2 requirements, and the $50B broad enterprise IT scope block a prime bid.</w:t>
      </w:r>
    </w:p>
    <w:p>
      <w:pPr>
        <w:pStyle w:val="ListBullet"/>
      </w:pPr>
      <w:r>
        <w:t>We must verify if the Army allows small businesses to rely on a joint venture partner to satisfy clearance and CMMC screening.</w:t>
      </w:r>
    </w:p>
    <w:p>
      <w:pPr>
        <w:pStyle w:val="Heading2"/>
      </w:pPr>
      <w:r>
        <w:t>Recommended Capture Actions</w:t>
      </w:r>
    </w:p>
    <w:p>
      <w:pPr>
        <w:pStyle w:val="ListBullet"/>
      </w:pPr>
      <w:r>
        <w:t>Conduct an immediate internal review to confirm the status of the company's Facility Clearance and CMMC Level 2 compliance.</w:t>
      </w:r>
    </w:p>
    <w:p>
      <w:pPr>
        <w:pStyle w:val="ListBullet"/>
      </w:pPr>
      <w:r>
        <w:t>Analyze the MAPS RDT&amp;E and Engineering/Operational Services domains to map Threat Tec's past performance to Qualifying Project (QP) criteria.</w:t>
      </w:r>
    </w:p>
    <w:p>
      <w:pPr>
        <w:pStyle w:val="ListBullet"/>
      </w:pPr>
      <w:r>
        <w:t>Identify and initiate outreach to top prospective MAPS primes (especially RS3 and ITES-3S incumbents) to explore subcontracting opportunities.</w:t>
      </w:r>
    </w:p>
    <w:p>
      <w:pPr>
        <w:pStyle w:val="Heading2"/>
      </w:pPr>
      <w:r>
        <w:t>Decision watchouts</w:t>
      </w:r>
    </w:p>
    <w:p>
      <w:pPr>
        <w:pStyle w:val="Heading3"/>
      </w:pPr>
      <w:r>
        <w:t>Why not prime</w:t>
      </w:r>
    </w:p>
    <w:p>
      <w:pPr>
        <w:pStyle w:val="ListBullet"/>
      </w:pPr>
      <w:r>
        <w:t>Missing Facility Clearance (Prime blocker): Threat Tec lacks documented evidence of an Active Secret Facility Clearance.</w:t>
      </w:r>
    </w:p>
    <w:p>
      <w:pPr>
        <w:pStyle w:val="ListBullet"/>
      </w:pPr>
      <w:r>
        <w:t>Missing CMMC Level 2 (Prime blocker): Threat Tec lacks documented evidence of CMMC Level 2 certification.</w:t>
      </w:r>
    </w:p>
    <w:p>
      <w:pPr>
        <w:pStyle w:val="ListBullet"/>
      </w:pPr>
      <w:r>
        <w:t>Open Facility Clearance requirement (Prime blocker): Facility Clearance is still unresolved in the validated evidence set.</w:t>
      </w:r>
    </w:p>
    <w:p>
      <w:pPr>
        <w:pStyle w:val="Heading3"/>
      </w:pPr>
      <w:r>
        <w:t>Still to verify</w:t>
      </w:r>
    </w:p>
    <w:p>
      <w:pPr>
        <w:pStyle w:val="ListBullet"/>
      </w:pPr>
      <w:r>
        <w:t>Will the Government allow Small Businesses to rely on a prime/subcontractor team approach to satisfy the Facility Clearance and CMMC Level 2 screening requirements? (Open question): If teaming allows the prime to cover these requirements, Threat Tec could potentially participate in a Joint Venture; otherwise, they are strictly limited to a traditional subcontracting role.</w:t>
      </w:r>
    </w:p>
    <w:p>
      <w:pPr>
        <w:pStyle w:val="Heading2"/>
      </w:pPr>
      <w:r>
        <w:t>Requirements at a Glance</w:t>
      </w:r>
    </w:p>
    <w:p>
      <w:r>
        <w:t>This solicitation includes 40 required obligations and 4 attachment-derived requirements.</w:t>
      </w:r>
    </w:p>
    <w:p>
      <w:r>
        <w:t>Top themes</w:t>
      </w:r>
    </w:p>
    <w:p>
      <w:pPr>
        <w:pStyle w:val="ListBullet"/>
      </w:pPr>
      <w:r>
        <w:t>Ensure each Attachment 0003 qualifying project form is digitally or hard signed by the listed contracting-party point of contact.</w:t>
      </w:r>
    </w:p>
    <w:p>
      <w:pPr>
        <w:pStyle w:val="ListBullet"/>
      </w:pPr>
      <w:r>
        <w:t>For each Attachment 0003 qualifying project, provide the referenced PWS, SOW, or SOO, with any supporting technical guidance letters as needed.</w:t>
      </w:r>
    </w:p>
    <w:p>
      <w:pPr>
        <w:pStyle w:val="ListBullet"/>
      </w:pPr>
      <w:r>
        <w:t>Supersede the previously proposed rates for the applicable performance period. The Contractor must provide sufficient justification to support the revised rates. This adjustment mechanism shall not apply to cost overruns caused by the Contractor's mismanagement, inefficiency, or other factors attributable to the Contractor's performance. *** END OF NARRATIVE *** DFARS Clauses Incorporated by Reference Number Title Effective Date Alternate.</w:t>
      </w:r>
    </w:p>
    <w:p>
      <w:r>
        <w:t>Major submission requirements</w:t>
      </w:r>
    </w:p>
    <w:p>
      <w:pPr>
        <w:pStyle w:val="ListBullet"/>
      </w:pPr>
      <w:r>
        <w:t>Ensure each Attachment 0003 qualifying project form is digitally or hard signed by the listed contracting-party point of contact.</w:t>
      </w:r>
    </w:p>
    <w:p>
      <w:pPr>
        <w:pStyle w:val="ListBullet"/>
      </w:pPr>
      <w:r>
        <w:t>Supersede the previously proposed rates for the applicable performance period. The Contractor must provide sufficient justification to support the revised rates. This adjustment mechanism shall not apply to cost overruns caused by the Contractor's mismanagement, inefficiency, or other factors attributable to the Contractor's performance. *** END OF NARRATIVE *** DFARS Clauses Incorporated by Reference Number Title Effective Date Alternate.</w:t>
      </w:r>
    </w:p>
    <w:p>
      <w:pPr>
        <w:pStyle w:val="ListBullet"/>
      </w:pPr>
      <w:r>
        <w:t>Submit the proposal by May 2026.</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Agency / customer</w:t>
            </w:r>
          </w:p>
        </w:tc>
        <w:tc>
          <w:tcPr>
            <w:tcW w:type="dxa" w:w="5184"/>
          </w:tcPr>
          <w:p>
            <w:r>
              <w:t>Department of the Army</w:t>
            </w:r>
          </w:p>
        </w:tc>
      </w:tr>
      <w:tr>
        <w:tc>
          <w:tcPr>
            <w:tcW w:type="dxa" w:w="5184"/>
          </w:tcPr>
          <w:p>
            <w:r>
              <w:t>Due date</w:t>
            </w:r>
          </w:p>
        </w:tc>
        <w:tc>
          <w:tcPr>
            <w:tcW w:type="dxa" w:w="5184"/>
          </w:tcPr>
          <w:p>
            <w:r>
              <w:t>2026-05-08</w:t>
            </w:r>
          </w:p>
        </w:tc>
      </w:tr>
      <w:tr>
        <w:tc>
          <w:tcPr>
            <w:tcW w:type="dxa" w:w="5184"/>
          </w:tcPr>
          <w:p>
            <w:r>
              <w:t>Place of performance</w:t>
            </w:r>
          </w:p>
        </w:tc>
        <w:tc>
          <w:tcPr>
            <w:tcW w:type="dxa" w:w="5184"/>
          </w:tcPr>
          <w:p>
            <w:r>
              <w:t>Aberdeen Proving Ground, Maryland, UNITED STATES</w:t>
            </w:r>
          </w:p>
        </w:tc>
      </w:tr>
      <w:tr>
        <w:tc>
          <w:tcPr>
            <w:tcW w:type="dxa" w:w="5184"/>
          </w:tcPr>
          <w:p>
            <w:r>
              <w:t>Contract type</w:t>
            </w:r>
          </w:p>
        </w:tc>
        <w:tc>
          <w:tcPr>
            <w:tcW w:type="dxa" w:w="5184"/>
          </w:tcPr>
          <w:p>
            <w:r>
              <w:t>IDIQ</w:t>
            </w:r>
          </w:p>
        </w:tc>
      </w:tr>
      <w:tr>
        <w:tc>
          <w:tcPr>
            <w:tcW w:type="dxa" w:w="5184"/>
          </w:tcPr>
          <w:p>
            <w:r>
              <w:t>Evaluation basis</w:t>
            </w:r>
          </w:p>
        </w:tc>
        <w:tc>
          <w:tcPr>
            <w:tcW w:type="dxa" w:w="5184"/>
          </w:tcPr>
          <w:p>
            <w:r>
              <w:t>Highest Rated Technical Offerors with a fair and reasonable price. Phase 1: Initial Ranking Based on Self-Scores. Phase 2: Verification Review and Downward Adjustments</w:t>
            </w:r>
          </w:p>
        </w:tc>
      </w:tr>
    </w:tbl>
    <w:p>
      <w:r>
        <w:t>MAPS is a Multiple Award (MA) Indefinite Delivery Indefinite Quantity (IDIQ) contract combining RS3 and ITES-3S to provide uncommon knowledge-based professional services and IT services worldwide across 5 domains. The maximum total contract value is $50B.</w:t>
      </w:r>
    </w:p>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THREAT TEC, LLC</w:t>
            </w:r>
          </w:p>
        </w:tc>
      </w:tr>
      <w:tr>
        <w:tc>
          <w:tcPr>
            <w:tcW w:type="dxa" w:w="5184"/>
          </w:tcPr>
          <w:p>
            <w:r>
              <w:t>Core capabilities</w:t>
            </w:r>
          </w:p>
        </w:tc>
        <w:tc>
          <w:tcPr>
            <w:tcW w:type="dxa" w:w="5184"/>
          </w:tcPr>
          <w:p>
            <w:r>
              <w:t>Intelligence and Threat Emulation, Data and Visualization, Mission Engineering, Wargaming and Simulation, Vehicle VISMOD</w:t>
            </w:r>
          </w:p>
        </w:tc>
      </w:tr>
      <w:tr>
        <w:tc>
          <w:tcPr>
            <w:tcW w:type="dxa" w:w="5184"/>
          </w:tcPr>
          <w:p>
            <w:r>
              <w:t>Strengths</w:t>
            </w:r>
          </w:p>
        </w:tc>
        <w:tc>
          <w:tcPr>
            <w:tcW w:type="dxa" w:w="5184"/>
          </w:tcPr>
          <w:p>
            <w:r>
              <w:t>Inc. 5000 Honoree (4 consecutive years), 2025 Vet100 Honoree, 2026 Top Virginia Employer for Interns, Legitimate near peer sparring partner</w:t>
            </w:r>
          </w:p>
        </w:tc>
      </w:tr>
      <w:tr>
        <w:tc>
          <w:tcPr>
            <w:tcW w:type="dxa" w:w="5184"/>
          </w:tcPr>
          <w:p>
            <w:r>
              <w:t>Major gaps</w:t>
            </w:r>
          </w:p>
        </w:tc>
        <w:tc>
          <w:tcPr>
            <w:tcW w:type="dxa" w:w="5184"/>
          </w:tcPr>
          <w:p>
            <w:r>
              <w:t>No documented clearances</w:t>
            </w:r>
          </w:p>
        </w:tc>
      </w:tr>
      <w:tr>
        <w:tc>
          <w:tcPr>
            <w:tcW w:type="dxa" w:w="5184"/>
          </w:tcPr>
          <w:p>
            <w:r>
              <w:t>Business statuses</w:t>
            </w:r>
          </w:p>
        </w:tc>
        <w:tc>
          <w:tcPr>
            <w:tcW w:type="dxa" w:w="5184"/>
          </w:tcPr>
          <w:p>
            <w:r>
              <w:t>Small business, Veteran-owned business, Fast-Growing</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