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rPr>
          <w:b/>
        </w:rPr>
        <w:t>AFTOC Sustainment RFI - Capture Assessment</w:t>
      </w:r>
    </w:p>
    <w:p>
      <w:r>
        <w:t>Company: TECHNOLOGY UNLIMITED GROUP</w:t>
      </w:r>
    </w:p>
    <w:p>
      <w:r>
        <w:t>We recommend a NO Go decision because TUG's core capabilities in Navy communications engineering do not align with the Air Force financial and logistics data systems required by the PWS. Furthermore, the immediate RFI deadline leaves no time to build a competitive team to bridge these critical capability gaps.</w:t>
      </w:r>
    </w:p>
    <w:p>
      <w:pPr>
        <w:pStyle w:val="Heading2"/>
      </w:pPr>
      <w:r>
        <w:t>Why This Call Lands Here</w:t>
      </w:r>
    </w:p>
    <w:p>
      <w:pPr>
        <w:pStyle w:val="ListBullet"/>
      </w:pPr>
      <w:r>
        <w:t>Domain Expertise Gap: The opportunity requires deep functional expertise in Air Force financial, maintenance, supply, and logistics data systems (e.g., DEAMS, IMDS, SBSS), which TUG lacks.</w:t>
      </w:r>
    </w:p>
    <w:p>
      <w:pPr>
        <w:pStyle w:val="ListBullet"/>
      </w:pPr>
      <w:r>
        <w:t>Customer Intimacy Gap: TUG lacks demonstrated past performance with the Air Force Cost Analysis Agency (AFCAA) or similar Air Force enterprise data environments.</w:t>
      </w:r>
    </w:p>
    <w:p>
      <w:pPr>
        <w:pStyle w:val="ListBullet"/>
      </w:pPr>
      <w:r>
        <w:t>Insufficient Response Time: The RFI response is due immediately (April 24, 2026), leaving no time to build a credible team to cover the significant domain expertise gaps.</w:t>
      </w:r>
    </w:p>
    <w:p>
      <w:pPr>
        <w:pStyle w:val="Heading2"/>
      </w:pPr>
      <w:r>
        <w:t>Recommended Capture Actions</w:t>
      </w:r>
    </w:p>
    <w:p>
      <w:pPr>
        <w:pStyle w:val="ListBullet"/>
      </w:pPr>
      <w:r>
        <w:t>Do not submit a response to this RFI.</w:t>
      </w:r>
    </w:p>
    <w:p>
      <w:pPr>
        <w:pStyle w:val="ListBullet"/>
      </w:pPr>
      <w:r>
        <w:t>Continue to focus business development efforts on Navy communications, CDL, and C4ISR opportunities.</w:t>
      </w:r>
    </w:p>
    <w:p>
      <w:pPr>
        <w:pStyle w:val="ListBullet"/>
      </w:pPr>
      <w:r>
        <w:t>Monitor for future opportunities that align more closely with TUG's core competencies in hardware/firmware engineering and wideband communications.</w:t>
      </w:r>
    </w:p>
    <w:p>
      <w:pPr>
        <w:pStyle w:val="Heading2"/>
      </w:pPr>
      <w:r>
        <w:t>Requirements That Shape the Proposal</w:t>
      </w:r>
    </w:p>
    <w:p>
      <w:pPr>
        <w:pStyle w:val="Heading3"/>
      </w:pPr>
      <w:r>
        <w:t>Security / Privacy</w:t>
      </w:r>
    </w:p>
    <w:p>
      <w:pPr>
        <w:pStyle w:val="ListBullet"/>
      </w:pPr>
      <w:r>
        <w:t>Include company info, CAGE, UEI, size status, subcontracting %, teaming info, and security capability. (Required) - Submission Requirements · p.3</w:t>
      </w:r>
    </w:p>
    <w:p>
      <w:pPr>
        <w:pStyle w:val="ListBullet"/>
      </w:pPr>
      <w:r>
        <w:t>Comply with CUI markings (DoDI, NIST) and encrypt AFTOC data in transit. (Required) - 2.6 Task 6 – Controlled Unclassified Information (CUI) Data Markings · p.17</w:t>
      </w:r>
    </w:p>
    <w:p>
      <w:pPr>
        <w:pStyle w:val="ListBullet"/>
      </w:pPr>
      <w:r>
        <w:t>Provide DBA support, maintain security certs, apply STIGs quarterly, and submit Quarterly STIG checklists. (Required) - 2.11 Task 11 - Database Administration (DBA) · p.21</w:t>
      </w:r>
    </w:p>
    <w:p>
      <w:pPr>
        <w:pStyle w:val="Heading3"/>
      </w:pPr>
      <w:r>
        <w:t>Submission</w:t>
      </w:r>
    </w:p>
    <w:p>
      <w:pPr>
        <w:pStyle w:val="ListBullet"/>
      </w:pPr>
      <w:r>
        <w:t>Provide capability statement max 15 pages, Times New Roman 12-point font, 8.5x11 paper, MS Word or PDF format. (Required) - Submission Requirements · p.3</w:t>
      </w:r>
    </w:p>
    <w:p>
      <w:pPr>
        <w:pStyle w:val="ListBullet"/>
      </w:pPr>
      <w:r>
        <w:t>The Contractor shall ensure applicable STIGs are updated and applied to all databases quarterly, provide completed Quarterly STIG checklists (A023) to the AFTOC Information Systems Security Manager, and ensure personnel meet the minimum experience requirements and system knowledge specified in Appendix B and Section 2.1.4. (Required) - 15. Generate traces, execution plans, identify performance issues, deadlocks/contention · p.21</w:t>
      </w:r>
    </w:p>
    <w:p>
      <w:pPr>
        <w:pStyle w:val="Heading3"/>
      </w:pPr>
      <w:r>
        <w:t>Deliverables</w:t>
      </w:r>
    </w:p>
    <w:p>
      <w:pPr>
        <w:pStyle w:val="ListBullet"/>
      </w:pPr>
      <w:r>
        <w:t>Provide Transition-In Plan at Kickoff and Transition-Out Plan 90 days prior to contract/option expiration. (Required) - 6.3 Transition-In Plan (A028) / 6.4 Transition-Out Plan (A029) · p.38</w:t>
      </w:r>
    </w:p>
    <w:p>
      <w:pPr>
        <w:pStyle w:val="ListBullet"/>
      </w:pPr>
      <w:r>
        <w:t>Report all labor hours in SAM by 31 October annually. (Required) - 6.7 System for Award Management (formerly CMRA) · p.41</w:t>
      </w:r>
    </w:p>
    <w:p>
      <w:pPr>
        <w:pStyle w:val="Heading3"/>
      </w:pPr>
      <w:r>
        <w:t>Schedule</w:t>
      </w:r>
    </w:p>
    <w:p>
      <w:pPr>
        <w:pStyle w:val="ListBullet"/>
      </w:pPr>
      <w:r>
        <w:t>Submit response electronically by 1400 EST, 24 April 2026. (Required) - Submission of Responses · p.4</w:t>
      </w:r>
    </w:p>
    <w:p>
      <w:pPr>
        <w:pStyle w:val="Heading2"/>
      </w:pPr>
      <w:r>
        <w:t>Opportunity Context</w:t>
      </w:r>
    </w:p>
    <w:tbl>
      <w:tblPr>
        <w:tblStyle w:val="LightList-Accent1"/>
        <w:tblW w:type="auto" w:w="0"/>
        <w:tblLook w:firstColumn="1" w:firstRow="1" w:lastColumn="0" w:lastRow="0" w:noHBand="0" w:noVBand="1" w:val="04A0"/>
      </w:tblPr>
      <w:tblGrid>
        <w:gridCol w:w="5184"/>
        <w:gridCol w:w="5184"/>
      </w:tblGrid>
      <w:tr>
        <w:tc>
          <w:tcPr>
            <w:tcW w:type="dxa" w:w="5184"/>
          </w:tcPr>
          <w:p>
            <w:r>
              <w:t>Due date</w:t>
            </w:r>
          </w:p>
        </w:tc>
        <w:tc>
          <w:tcPr>
            <w:tcW w:type="dxa" w:w="5184"/>
          </w:tcPr>
          <w:p>
            <w:r>
              <w:t>2026-04-24</w:t>
            </w:r>
          </w:p>
        </w:tc>
      </w:tr>
      <w:tr>
        <w:tc>
          <w:tcPr>
            <w:tcW w:type="dxa" w:w="5184"/>
          </w:tcPr>
          <w:p>
            <w:r>
              <w:t>Place of performance</w:t>
            </w:r>
          </w:p>
        </w:tc>
        <w:tc>
          <w:tcPr>
            <w:tcW w:type="dxa" w:w="5184"/>
          </w:tcPr>
          <w:p>
            <w:r>
              <w:t>Utah, UNITED STATES</w:t>
            </w:r>
          </w:p>
        </w:tc>
      </w:tr>
      <w:tr>
        <w:tc>
          <w:tcPr>
            <w:tcW w:type="dxa" w:w="5184"/>
          </w:tcPr>
          <w:p>
            <w:r>
              <w:t>Evaluation basis</w:t>
            </w:r>
          </w:p>
        </w:tc>
        <w:tc>
          <w:tcPr>
            <w:tcW w:type="dxa" w:w="5184"/>
          </w:tcPr>
          <w:p>
            <w:r>
              <w:t>The government will evaluate submissions based on certifications, systems, and qualifying-project evidence</w:t>
            </w:r>
          </w:p>
        </w:tc>
      </w:tr>
    </w:tbl>
    <w:p>
      <w:pPr>
        <w:pStyle w:val="Heading2"/>
      </w:pPr>
      <w:r>
        <w:t>Company Context</w:t>
      </w:r>
    </w:p>
    <w:tbl>
      <w:tblPr>
        <w:tblStyle w:val="LightList-Accent1"/>
        <w:tblW w:type="auto" w:w="0"/>
        <w:tblLook w:firstColumn="1" w:firstRow="1" w:lastColumn="0" w:lastRow="0" w:noHBand="0" w:noVBand="1" w:val="04A0"/>
      </w:tblPr>
      <w:tblGrid>
        <w:gridCol w:w="5184"/>
        <w:gridCol w:w="5184"/>
      </w:tblGrid>
      <w:tr>
        <w:tc>
          <w:tcPr>
            <w:tcW w:type="dxa" w:w="5184"/>
          </w:tcPr>
          <w:p>
            <w:r>
              <w:t>Company</w:t>
            </w:r>
          </w:p>
        </w:tc>
        <w:tc>
          <w:tcPr>
            <w:tcW w:type="dxa" w:w="5184"/>
          </w:tcPr>
          <w:p>
            <w:r>
              <w:t>TECHNOLOGY UNLIMITED GROUP</w:t>
            </w:r>
          </w:p>
        </w:tc>
      </w:tr>
      <w:tr>
        <w:tc>
          <w:tcPr>
            <w:tcW w:type="dxa" w:w="5184"/>
          </w:tcPr>
          <w:p>
            <w:r>
              <w:t>Core capabilities</w:t>
            </w:r>
          </w:p>
        </w:tc>
        <w:tc>
          <w:tcPr>
            <w:tcW w:type="dxa" w:w="5184"/>
          </w:tcPr>
          <w:p>
            <w:r>
              <w:t>Acquisition Support, Algorithms Analysis, Common Data Link, Cryptology Design, Engineering Service, Modeling Networking</w:t>
            </w:r>
          </w:p>
        </w:tc>
      </w:tr>
      <w:tr>
        <w:tc>
          <w:tcPr>
            <w:tcW w:type="dxa" w:w="5184"/>
          </w:tcPr>
          <w:p>
            <w:r>
              <w:t>Strengths</w:t>
            </w:r>
          </w:p>
        </w:tc>
        <w:tc>
          <w:tcPr>
            <w:tcW w:type="dxa" w:w="5184"/>
          </w:tcPr>
          <w:p>
            <w:r>
              <w:t>Extensive experience with U.S. Navy Common Data Link (CDL) terminals, Expertise in Secret and SCI system certification, Specialized knowledge of SIGINT and horizon extension applications, Highly specialized knowledge of customer processes</w:t>
            </w:r>
          </w:p>
        </w:tc>
      </w:tr>
      <w:tr>
        <w:tc>
          <w:tcPr>
            <w:tcW w:type="dxa" w:w="5184"/>
          </w:tcPr>
          <w:p>
            <w:r>
              <w:t>Major gaps</w:t>
            </w:r>
          </w:p>
        </w:tc>
        <w:tc>
          <w:tcPr>
            <w:tcW w:type="dxa" w:w="5184"/>
          </w:tcPr>
          <w:p>
            <w:r>
              <w:t>No documented contract vehicles, No documented certifications</w:t>
            </w:r>
          </w:p>
        </w:tc>
      </w:tr>
    </w:tbl>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