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AFTOC Sustainment RFI - Brief</w:t>
      </w:r>
    </w:p>
    <w:p>
      <w:r>
        <w:t>Company: TECHNOLOGY UNLIMITED GROUP</w:t>
      </w:r>
    </w:p>
    <w:p>
      <w:pPr>
        <w:pStyle w:val="Heading1"/>
      </w:pPr>
      <w:r>
        <w:t>Decision</w:t>
      </w:r>
    </w:p>
    <w:p>
      <w:r>
        <w:t>No Go</w:t>
      </w:r>
    </w:p>
    <w:p>
      <w:r>
        <w:t>We recommend a NO Go decision because TUG's core capabilities in Navy communications engineering do not align with the Air Force financial and logistics data systems required by the PWS. Furthermore, the immediate RFI deadline leaves no time to build a competitive team to bridge these critical capability gaps.</w:t>
      </w:r>
    </w:p>
    <w:p>
      <w:pPr>
        <w:pStyle w:val="Heading2"/>
      </w:pPr>
      <w:r>
        <w:t>Bid Summary</w:t>
      </w:r>
    </w:p>
    <w:tbl>
      <w:tblPr>
        <w:tblStyle w:val="LightList-Accent1"/>
        <w:tblW w:type="auto" w:w="0"/>
        <w:tblLook w:firstColumn="1" w:firstRow="1" w:lastColumn="0" w:lastRow="0" w:noHBand="0" w:noVBand="1" w:val="04A0"/>
      </w:tblPr>
      <w:tblGrid>
        <w:gridCol w:w="5184"/>
        <w:gridCol w:w="5184"/>
      </w:tblGrid>
      <w:tr>
        <w:tc>
          <w:tcPr>
            <w:tcW w:type="dxa" w:w="5184"/>
          </w:tcPr>
          <w:p>
            <w:r>
              <w:t>Recommendation</w:t>
            </w:r>
          </w:p>
        </w:tc>
        <w:tc>
          <w:tcPr>
            <w:tcW w:type="dxa" w:w="5184"/>
          </w:tcPr>
          <w:p>
            <w:r>
              <w:t>No Go</w:t>
            </w:r>
          </w:p>
        </w:tc>
      </w:tr>
      <w:tr>
        <w:tc>
          <w:tcPr>
            <w:tcW w:type="dxa" w:w="5184"/>
          </w:tcPr>
          <w:p>
            <w:r>
              <w:t>Bid posture</w:t>
            </w:r>
          </w:p>
        </w:tc>
        <w:tc>
          <w:tcPr>
            <w:tcW w:type="dxa" w:w="5184"/>
          </w:tcPr>
          <w:p>
            <w:r>
              <w:t>None</w:t>
            </w:r>
          </w:p>
        </w:tc>
      </w:tr>
      <w:tr>
        <w:tc>
          <w:tcPr>
            <w:tcW w:type="dxa" w:w="5184"/>
          </w:tcPr>
          <w:p>
            <w:r>
              <w:t>Readiness</w:t>
            </w:r>
          </w:p>
        </w:tc>
        <w:tc>
          <w:tcPr>
            <w:tcW w:type="dxa" w:w="5184"/>
          </w:tcPr>
          <w:p>
            <w:r>
              <w:t>Ready now</w:t>
            </w:r>
          </w:p>
        </w:tc>
      </w:tr>
    </w:tbl>
    <w:p>
      <w:pPr>
        <w:pStyle w:val="Heading2"/>
      </w:pPr>
      <w:r>
        <w:t>Key Decision Drivers</w:t>
      </w:r>
    </w:p>
    <w:p>
      <w:pPr>
        <w:pStyle w:val="ListBullet"/>
      </w:pPr>
      <w:r>
        <w:t>The PWS requires expertise in Air Force financial and logistics systems, whereas TUG's experience centers on Navy communications.</w:t>
      </w:r>
    </w:p>
    <w:p>
      <w:pPr>
        <w:pStyle w:val="ListBullet"/>
      </w:pPr>
      <w:r>
        <w:t>TUG lacks past performance with the Air Force Cost Analysis Agency, possessing exclusively Department of the Navy experience.</w:t>
      </w:r>
    </w:p>
    <w:p>
      <w:pPr>
        <w:pStyle w:val="ListBullet"/>
      </w:pPr>
      <w:r>
        <w:t>The immediate RFI deadline provides no time to form a team or develop a response that mitigates these fundamental capability gaps.</w:t>
      </w:r>
    </w:p>
    <w:p>
      <w:pPr>
        <w:pStyle w:val="Heading2"/>
      </w:pPr>
      <w:r>
        <w:t>Recommended Capture Actions</w:t>
      </w:r>
    </w:p>
    <w:p>
      <w:pPr>
        <w:pStyle w:val="ListBullet"/>
      </w:pPr>
      <w:r>
        <w:t>Do not submit a response to this RFI.</w:t>
      </w:r>
    </w:p>
    <w:p>
      <w:pPr>
        <w:pStyle w:val="ListBullet"/>
      </w:pPr>
      <w:r>
        <w:t>Continue to focus business development efforts on Navy communications, CDL, and C4ISR opportunities.</w:t>
      </w:r>
    </w:p>
    <w:p>
      <w:pPr>
        <w:pStyle w:val="ListBullet"/>
      </w:pPr>
      <w:r>
        <w:t>Monitor for future opportunities that align more closely with TUG's core competencies in hardware/firmware engineering and wideband communications.</w:t>
      </w:r>
    </w:p>
    <w:p>
      <w:pPr>
        <w:pStyle w:val="Heading2"/>
      </w:pPr>
      <w:r>
        <w:t>Decision watchouts</w:t>
      </w:r>
    </w:p>
    <w:p>
      <w:pPr>
        <w:pStyle w:val="Heading3"/>
      </w:pPr>
      <w:r>
        <w:t>Why this is a no-go</w:t>
      </w:r>
    </w:p>
    <w:p>
      <w:pPr>
        <w:pStyle w:val="ListBullet"/>
      </w:pPr>
      <w:r>
        <w:t>Domain Expertise Gap (Prime blocker): The opportunity requires deep functional expertise in Air Force financial, maintenance, supply, and logistics data systems (e.g., DEAMS, IMDS, SBSS), which TUG lacks.</w:t>
      </w:r>
    </w:p>
    <w:p>
      <w:pPr>
        <w:pStyle w:val="ListBullet"/>
      </w:pPr>
      <w:r>
        <w:t>Customer Intimacy Gap (Prime blocker): TUG lacks demonstrated past performance with the Air Force Cost Analysis Agency (AFCAA) or similar Air Force enterprise data environments.</w:t>
      </w:r>
    </w:p>
    <w:p>
      <w:pPr>
        <w:pStyle w:val="ListBullet"/>
      </w:pPr>
      <w:r>
        <w:t>Insufficient Response Time (Prime blocker): The RFI response is due immediately (April 24, 2026), leaving no time to build a credible team to cover the significant domain expertise gaps.</w:t>
      </w:r>
    </w:p>
    <w:p>
      <w:pPr>
        <w:pStyle w:val="Heading2"/>
      </w:pPr>
      <w:r>
        <w:t>Requirements at a Glance</w:t>
      </w:r>
    </w:p>
    <w:p>
      <w:r>
        <w:t>This solicitation includes 13 required obligations and 0 attachment-derived requirements.</w:t>
      </w:r>
    </w:p>
    <w:p>
      <w:r>
        <w:t>Top themes</w:t>
      </w:r>
    </w:p>
    <w:p>
      <w:pPr>
        <w:pStyle w:val="ListBullet"/>
      </w:pPr>
      <w:r>
        <w:t>Provide capability statement max 15 pages, Times New Roman 12-point font, 8.5x11 paper, MS Word or PDF format.</w:t>
      </w:r>
    </w:p>
    <w:p>
      <w:pPr>
        <w:pStyle w:val="ListBullet"/>
      </w:pPr>
      <w:r>
        <w:t>Submit response electronically by 1400 EST, 24 April 2026.</w:t>
      </w:r>
    </w:p>
    <w:p>
      <w:pPr>
        <w:pStyle w:val="ListBullet"/>
      </w:pPr>
      <w:r>
        <w:t>Include company info, CAGE, UEI, size status, subcontracting %, teaming info, and security capability.</w:t>
      </w:r>
    </w:p>
    <w:p>
      <w:r>
        <w:t>Major submission requirements</w:t>
      </w:r>
    </w:p>
    <w:p>
      <w:pPr>
        <w:pStyle w:val="ListBullet"/>
      </w:pPr>
      <w:r>
        <w:t>Submit response electronically by 1400 EST, 24 April 2026.</w:t>
      </w:r>
    </w:p>
    <w:p>
      <w:pPr>
        <w:pStyle w:val="ListBullet"/>
      </w:pPr>
      <w:r>
        <w:t>Include company info, CAGE, UEI, size status, subcontracting %, teaming info, and security capability.</w:t>
      </w:r>
    </w:p>
    <w:p>
      <w:pPr>
        <w:pStyle w:val="ListBullet"/>
      </w:pPr>
      <w:r>
        <w:t>Provide sustainment support for the Air Force Total Ownership Cost (AFTOC) system for the Air Force Cost Analysis Agency (AFCAA) by maintaining a centralized data repository for cost, logistics, and programmatic information.</w:t>
      </w:r>
    </w:p>
    <w:p>
      <w:pPr>
        <w:pStyle w:val="Heading2"/>
      </w:pPr>
      <w:r>
        <w:t>Opportunity Context</w:t>
      </w:r>
    </w:p>
    <w:tbl>
      <w:tblPr>
        <w:tblStyle w:val="LightList-Accent1"/>
        <w:tblW w:type="auto" w:w="0"/>
        <w:tblLook w:firstColumn="1" w:firstRow="1" w:lastColumn="0" w:lastRow="0" w:noHBand="0" w:noVBand="1" w:val="04A0"/>
      </w:tblPr>
      <w:tblGrid>
        <w:gridCol w:w="5184"/>
        <w:gridCol w:w="5184"/>
      </w:tblGrid>
      <w:tr>
        <w:tc>
          <w:tcPr>
            <w:tcW w:type="dxa" w:w="5184"/>
          </w:tcPr>
          <w:p>
            <w:r>
              <w:t>Due date</w:t>
            </w:r>
          </w:p>
        </w:tc>
        <w:tc>
          <w:tcPr>
            <w:tcW w:type="dxa" w:w="5184"/>
          </w:tcPr>
          <w:p>
            <w:r>
              <w:t>2026-04-24</w:t>
            </w:r>
          </w:p>
        </w:tc>
      </w:tr>
      <w:tr>
        <w:tc>
          <w:tcPr>
            <w:tcW w:type="dxa" w:w="5184"/>
          </w:tcPr>
          <w:p>
            <w:r>
              <w:t>Place of performance</w:t>
            </w:r>
          </w:p>
        </w:tc>
        <w:tc>
          <w:tcPr>
            <w:tcW w:type="dxa" w:w="5184"/>
          </w:tcPr>
          <w:p>
            <w:r>
              <w:t>Utah, UNITED STATES</w:t>
            </w:r>
          </w:p>
        </w:tc>
      </w:tr>
      <w:tr>
        <w:tc>
          <w:tcPr>
            <w:tcW w:type="dxa" w:w="5184"/>
          </w:tcPr>
          <w:p>
            <w:r>
              <w:t>Evaluation basis</w:t>
            </w:r>
          </w:p>
        </w:tc>
        <w:tc>
          <w:tcPr>
            <w:tcW w:type="dxa" w:w="5184"/>
          </w:tcPr>
          <w:p>
            <w:r>
              <w:t>The government will evaluate submissions based on certifications, systems, and qualifying-project evidence</w:t>
            </w:r>
          </w:p>
        </w:tc>
      </w:tr>
    </w:tbl>
    <w:p>
      <w:r>
        <w:t>provide essential subject matter expertise for Department of the Air Force (DAF) and Department of War (DOW) functional and data systems to support the Air Force Total Ownership Cost (AFTOC) program. Under the direction of the Program Management Office (PMO), the contractor will work as an integrated part of the gov</w:t>
      </w:r>
    </w:p>
    <w:p>
      <w:pPr>
        <w:pStyle w:val="Heading2"/>
      </w:pPr>
      <w:r>
        <w:t>Company Context</w:t>
      </w:r>
    </w:p>
    <w:tbl>
      <w:tblPr>
        <w:tblStyle w:val="LightList-Accent1"/>
        <w:tblW w:type="auto" w:w="0"/>
        <w:tblLook w:firstColumn="1" w:firstRow="1" w:lastColumn="0" w:lastRow="0" w:noHBand="0" w:noVBand="1" w:val="04A0"/>
      </w:tblPr>
      <w:tblGrid>
        <w:gridCol w:w="5184"/>
        <w:gridCol w:w="5184"/>
      </w:tblGrid>
      <w:tr>
        <w:tc>
          <w:tcPr>
            <w:tcW w:type="dxa" w:w="5184"/>
          </w:tcPr>
          <w:p>
            <w:r>
              <w:t>Company</w:t>
            </w:r>
          </w:p>
        </w:tc>
        <w:tc>
          <w:tcPr>
            <w:tcW w:type="dxa" w:w="5184"/>
          </w:tcPr>
          <w:p>
            <w:r>
              <w:t>TECHNOLOGY UNLIMITED GROUP</w:t>
            </w:r>
          </w:p>
        </w:tc>
      </w:tr>
      <w:tr>
        <w:tc>
          <w:tcPr>
            <w:tcW w:type="dxa" w:w="5184"/>
          </w:tcPr>
          <w:p>
            <w:r>
              <w:t>Core capabilities</w:t>
            </w:r>
          </w:p>
        </w:tc>
        <w:tc>
          <w:tcPr>
            <w:tcW w:type="dxa" w:w="5184"/>
          </w:tcPr>
          <w:p>
            <w:r>
              <w:t>Acquisition Support, Algorithms Analysis, Common Data Link, Cryptology Design, Engineering Service, Modeling Networking</w:t>
            </w:r>
          </w:p>
        </w:tc>
      </w:tr>
      <w:tr>
        <w:tc>
          <w:tcPr>
            <w:tcW w:type="dxa" w:w="5184"/>
          </w:tcPr>
          <w:p>
            <w:r>
              <w:t>Strengths</w:t>
            </w:r>
          </w:p>
        </w:tc>
        <w:tc>
          <w:tcPr>
            <w:tcW w:type="dxa" w:w="5184"/>
          </w:tcPr>
          <w:p>
            <w:r>
              <w:t>Extensive experience with U.S. Navy Common Data Link (CDL) terminals, Expertise in Secret and SCI system certification, Specialized knowledge of SIGINT and horizon extension applications, Highly specialized knowledge of customer processes</w:t>
            </w:r>
          </w:p>
        </w:tc>
      </w:tr>
      <w:tr>
        <w:tc>
          <w:tcPr>
            <w:tcW w:type="dxa" w:w="5184"/>
          </w:tcPr>
          <w:p>
            <w:r>
              <w:t>Major gaps</w:t>
            </w:r>
          </w:p>
        </w:tc>
        <w:tc>
          <w:tcPr>
            <w:tcW w:type="dxa" w:w="5184"/>
          </w:tcPr>
          <w:p>
            <w:r>
              <w:t>No documented contract vehicles, No documented certifications</w:t>
            </w:r>
          </w:p>
        </w:tc>
      </w:tr>
      <w:tr>
        <w:tc>
          <w:tcPr>
            <w:tcW w:type="dxa" w:w="5184"/>
          </w:tcPr>
          <w:p>
            <w:r>
              <w:t>Business statuses</w:t>
            </w:r>
          </w:p>
        </w:tc>
        <w:tc>
          <w:tcPr>
            <w:tcW w:type="dxa" w:w="5184"/>
          </w:tcPr>
          <w:p>
            <w:r>
              <w:t>Small business, SDVOSB, VOSB</w:t>
            </w:r>
          </w:p>
        </w:tc>
      </w:tr>
    </w:tbl>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