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Marketplace for Acquisition of Professional Services (MAPS) - Capture Assessment</w:t>
      </w:r>
    </w:p>
    <w:p>
      <w:r>
        <w:t>Company: THREAT TEC, LLC</w:t>
      </w:r>
    </w:p>
    <w:p>
      <w:r>
        <w:t>Threat Tec is well-positioned to join a winning team by offering high-scoring Qualifying Projects and specialized RDT&amp;E expertise. Missing mandatory facility clearance and CMMC certifications eliminate a prime pursuit.</w:t>
      </w:r>
    </w:p>
    <w:p>
      <w:pPr>
        <w:pStyle w:val="Heading2"/>
      </w:pPr>
      <w:r>
        <w:t>Why This Call Lands Here</w:t>
      </w:r>
    </w:p>
    <w:p>
      <w:pPr>
        <w:pStyle w:val="ListBullet"/>
      </w:pPr>
      <w:r>
        <w:t>Valuable Past Performance: Can provide Qualifying Projects (QPs) to boost a Prime's scorecard.</w:t>
      </w:r>
    </w:p>
    <w:p>
      <w:pPr>
        <w:pStyle w:val="ListBullet"/>
      </w:pPr>
      <w:r>
        <w:t>Niche Capability Alignment: Specialized skills make the company an attractive subcontractor.</w:t>
      </w:r>
    </w:p>
    <w:p>
      <w:pPr>
        <w:pStyle w:val="ListBullet"/>
      </w:pPr>
      <w:r>
        <w:t>Prime Compliance Blockers: Missing Active Secret FCL and CMMC Level 2 prevent a Prime bid.</w:t>
      </w:r>
    </w:p>
    <w:p>
      <w:pPr>
        <w:pStyle w:val="Heading2"/>
      </w:pPr>
      <w:r>
        <w:t>Recommended Capture Actions</w:t>
      </w:r>
    </w:p>
    <w:p>
      <w:pPr>
        <w:pStyle w:val="ListBullet"/>
      </w:pPr>
      <w:r>
        <w:t>Conduct an immediate internal audit to definitively confirm the status of Facility Clearance (FCL) and CMMC Level 2 compliance.</w:t>
      </w:r>
    </w:p>
    <w:p>
      <w:pPr>
        <w:pStyle w:val="ListBullet"/>
      </w:pPr>
      <w:r>
        <w:t>Identify top 5-10 MAPS Prime candidates (Large or Emerging Large) targeting the RDT&amp;E or Engineering domains.</w:t>
      </w:r>
    </w:p>
    <w:p>
      <w:pPr>
        <w:pStyle w:val="ListBullet"/>
      </w:pPr>
      <w:r>
        <w:t>Develop a subcontractor value proposition highlighting $170M+ DoD past performance and niche Wargaming/Threat Emulation capabilities.</w:t>
      </w:r>
    </w:p>
    <w:p>
      <w:pPr>
        <w:pStyle w:val="Heading2"/>
      </w:pPr>
      <w:r>
        <w:t>Requirements That Shape the Proposal</w:t>
      </w:r>
    </w:p>
    <w:p>
      <w:pPr>
        <w:pStyle w:val="Heading3"/>
      </w:pPr>
      <w:r>
        <w:t>Technical scope</w:t>
      </w:r>
    </w:p>
    <w:p>
      <w:pPr>
        <w:pStyle w:val="ListBullet"/>
      </w:pPr>
      <w:r>
        <w:t>Offerors shall provide a copy of the PWS, statement of work, statement of objectives, and applicable technical guidance letter that is being referenced, and a copy of the Contract, Order, and /or Agreement with the Offeror's QP Submission as part of their supporting documentation. (Required) - L.2.3.2 QP SUBMISSION</w:t>
      </w:r>
    </w:p>
    <w:p>
      <w:pPr>
        <w:pStyle w:val="ListBullet"/>
      </w:pPr>
      <w:r>
        <w:t>[[PAGE 300]] (4) Within 10 days of a written request from the Contracting Officer for additional information to support proposal analysis, the Offeror shall provide either the requested information, or a written explanation for the inability to fully comply. (If Applicable) - [[PAGE 300]]</w:t>
      </w:r>
    </w:p>
    <w:p>
      <w:pPr>
        <w:pStyle w:val="ListBullet"/>
      </w:pPr>
      <w:r>
        <w:t>(f) The Contractor shall submit the information required by paragraphs (d) and (e) of this clause as follows: (1) End items shall be reported using the receiving report capability in Wide Area WorkFlow (WAWF) in accordance with the clause at 252.232-7003. (Required) - [[PAGE 157]]</w:t>
      </w:r>
    </w:p>
    <w:p>
      <w:pPr>
        <w:pStyle w:val="Heading3"/>
      </w:pPr>
      <w:r>
        <w:t>Security / Privacy</w:t>
      </w:r>
    </w:p>
    <w:p>
      <w:pPr>
        <w:pStyle w:val="ListBullet"/>
      </w:pPr>
      <w:r>
        <w:t>The contractor must comply with the specified Cybersecurity Maturity Model Certification (CMMC) level requirements. (Required) - NOTICE OF CYBERSECURITY MATURITY MODEL CERTIFICATION LEVEL · p.30</w:t>
      </w:r>
    </w:p>
    <w:p>
      <w:pPr>
        <w:pStyle w:val="ListBullet"/>
      </w:pPr>
      <w:r>
        <w:t>3.1 ENGINEERING, LOGISTICS AND OPERATIONAL SERVICES Examples of service areas that are included under the Engineering, Logistics and Operational Services support area include, but are not limited to, the following: Engineering Services: These services are primarily for applying physical laws and principles of engineering in the design, development, and utilization of machines, materials, instruments, structures, proc. (Required) - 3.1 ENGINEERING, LOGISTICS AND OPERATIONAL SERVICES · p.5</w:t>
      </w:r>
    </w:p>
    <w:p>
      <w:pPr>
        <w:pStyle w:val="ListBullet"/>
      </w:pPr>
      <w:r>
        <w:t>Contractor personnel must possess the security clearance specified in individual task orders at the time of proposal submission and maintain that level of security for the duration of the contract. (Required) - 4.2 ANTITERRORISM /OPERATIONALSECURITY (AT/OPSEC) REQUIREMENTS · p.10</w:t>
      </w:r>
    </w:p>
    <w:p>
      <w:pPr>
        <w:pStyle w:val="Heading3"/>
      </w:pPr>
      <w:r>
        <w:t>Evaluation</w:t>
      </w:r>
    </w:p>
    <w:p>
      <w:pPr>
        <w:pStyle w:val="ListBullet"/>
      </w:pPr>
      <w:r>
        <w:t>Answer yes to every applicable Attachment 0002 Section 01 screening question or the proposal will not be evaluated further. (Required) - | | Domain: | | | [Please Select One] | | | | | |</w:t>
      </w:r>
    </w:p>
    <w:p>
      <w:pPr>
        <w:pStyle w:val="ListBullet"/>
      </w:pPr>
      <w:r>
        <w:t>Submit up to three Qualifying Projects per Domain using Attachment 0003, including the required certifications and supporting contract documents. (Required) - Evaluation · p.322</w:t>
      </w:r>
    </w:p>
    <w:p>
      <w:pPr>
        <w:pStyle w:val="ListBullet"/>
      </w:pPr>
      <w:r>
        <w:t>For each required PPQ, obtain factual ratings or explanations from the contracting or private official, have the official sign the form, and return it to the offeror representative identified in Part II. (Required) - Evaluation</w:t>
      </w:r>
    </w:p>
    <w:p>
      <w:pPr>
        <w:pStyle w:val="Heading3"/>
      </w:pPr>
      <w:r>
        <w:t>Security and access</w:t>
      </w:r>
    </w:p>
    <w:p>
      <w:pPr>
        <w:pStyle w:val="ListBullet"/>
      </w:pPr>
      <w:r>
        <w:t>Contractor and all associated subcontractors' employees shall provide all information required for background checks to meet installation access requirements to be accomplished by installation Provost Marshal Office, Director of Emergency Services or Security Office. (Required) - 4.2.8 ACCESS AND GENERAL PROTECTION/SECURITY POLICY AND PROCEDURES</w:t>
      </w:r>
    </w:p>
    <w:p>
      <w:pPr>
        <w:pStyle w:val="ListBullet"/>
      </w:pPr>
      <w:r>
        <w:t>(d) When placing orders for Government stock on a non-reimbursable basis, the Contractor shall-- (1) Comply with the requirements of the Contracting Officer's authorization; and (2) When using electronic transactions to submit requisitions on a nonreimbursable basis only, place orders by authorizing contract number using the Defense Logistics Management System (DLMS) Supplement to Federal Implementation Convention 51 (Required) - [[PAGE 150]]</w:t>
      </w:r>
    </w:p>
    <w:p>
      <w:pPr>
        <w:pStyle w:val="ListBullet"/>
      </w:pPr>
      <w:r>
        <w:t>4.2 ANTITERRORISM /OPERATIONALSECURITY (AT/OPSEC) REQUIREMENTS Contractor personnel performing work under this contract shall have the appropriate security clearance as specified in each individual task order at time of the proposal submission and shall maintain the level of security required for the life of the contract. (Required) - 4.2 ANTITERRORISM /OPERATIONALSECURITY (AT/OPSEC) REQUIREMENTS</w:t>
      </w:r>
    </w:p>
    <w:p>
      <w:pPr>
        <w:pStyle w:val="Heading2"/>
      </w:pPr>
      <w:r>
        <w:t>Still to verify</w:t>
      </w:r>
    </w:p>
    <w:p>
      <w:pPr>
        <w:pStyle w:val="ListBullet"/>
      </w:pPr>
      <w:r>
        <w:t>Does Threat Tec currently hold an unlisted Active Secret Facility Clearance or CMMC Level 2 certification that would alter the Prime viability assessment? (Open question): If yes, the company could pivot to a Prime pursuit posture. If no, Subcontracting remains the only viable path.</w:t>
      </w:r>
    </w:p>
    <w:p>
      <w:pPr>
        <w:pStyle w:val="ListBullet"/>
      </w:pPr>
      <w:r>
        <w:t>Which specific MAPS domains (e.g., RDT&amp;E, Engineering) best align with Threat Tec's Qualifying Projects (QPs) to maximize a Prime's scorecard? (Open question): Determines the targeted list of Prime partners and the specific value proposition to pitch.</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Due date</w:t>
            </w:r>
          </w:p>
        </w:tc>
        <w:tc>
          <w:tcPr>
            <w:tcW w:type="dxa" w:w="5184"/>
          </w:tcPr>
          <w:p>
            <w:r>
              <w:t>2026-05-01</w:t>
            </w:r>
          </w:p>
        </w:tc>
      </w:tr>
      <w:tr>
        <w:tc>
          <w:tcPr>
            <w:tcW w:type="dxa" w:w="5184"/>
          </w:tcPr>
          <w:p>
            <w:r>
              <w:t>Place of performance</w:t>
            </w:r>
          </w:p>
        </w:tc>
        <w:tc>
          <w:tcPr>
            <w:tcW w:type="dxa" w:w="5184"/>
          </w:tcPr>
          <w:p>
            <w:r>
              <w:t>Aberdeen Proving Ground, Maryland, UNITED STATES</w:t>
            </w:r>
          </w:p>
        </w:tc>
      </w:tr>
      <w:tr>
        <w:tc>
          <w:tcPr>
            <w:tcW w:type="dxa" w:w="5184"/>
          </w:tcPr>
          <w:p>
            <w:r>
              <w:t>Evaluation basis</w:t>
            </w:r>
          </w:p>
        </w:tc>
        <w:tc>
          <w:tcPr>
            <w:tcW w:type="dxa" w:w="5184"/>
          </w:tcPr>
          <w:p>
            <w:r>
              <w:t>The government will apply screening questions to initial submissions before conducting a deeper evaluation</w:t>
            </w:r>
          </w:p>
        </w:tc>
      </w:tr>
    </w:tbl>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THREAT TEC, LLC</w:t>
            </w:r>
          </w:p>
        </w:tc>
      </w:tr>
      <w:tr>
        <w:tc>
          <w:tcPr>
            <w:tcW w:type="dxa" w:w="5184"/>
          </w:tcPr>
          <w:p>
            <w:r>
              <w:t>Core capabilities</w:t>
            </w:r>
          </w:p>
        </w:tc>
        <w:tc>
          <w:tcPr>
            <w:tcW w:type="dxa" w:w="5184"/>
          </w:tcPr>
          <w:p>
            <w:r>
              <w:t>Intelligence and Threat Emulation, Data and Visualization, Mission Engineering, Wargaming and Simulation, Vehicle VISMOD</w:t>
            </w:r>
          </w:p>
        </w:tc>
      </w:tr>
      <w:tr>
        <w:tc>
          <w:tcPr>
            <w:tcW w:type="dxa" w:w="5184"/>
          </w:tcPr>
          <w:p>
            <w:r>
              <w:t>Strengths</w:t>
            </w:r>
          </w:p>
        </w:tc>
        <w:tc>
          <w:tcPr>
            <w:tcW w:type="dxa" w:w="5184"/>
          </w:tcPr>
          <w:p>
            <w:r>
              <w:t>Inc. 5000 Honoree (4 consecutive years), 2025 Vet100 Honoree, 2026 Top Virginia Employer for Interns, Legitimate near peer sparring partner</w:t>
            </w:r>
          </w:p>
        </w:tc>
      </w:tr>
      <w:tr>
        <w:tc>
          <w:tcPr>
            <w:tcW w:type="dxa" w:w="5184"/>
          </w:tcPr>
          <w:p>
            <w:r>
              <w:t>Major gaps</w:t>
            </w:r>
          </w:p>
        </w:tc>
        <w:tc>
          <w:tcPr>
            <w:tcW w:type="dxa" w:w="5184"/>
          </w:tcPr>
          <w:p>
            <w:r>
              <w:t>No documented clearances</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