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Marketplace for Acquisition of Professional Services (MAPS) - Brief</w:t>
      </w:r>
    </w:p>
    <w:p>
      <w:r>
        <w:t>Company: THREAT TEC, LLC</w:t>
      </w:r>
    </w:p>
    <w:p>
      <w:pPr>
        <w:pStyle w:val="Heading1"/>
      </w:pPr>
      <w:r>
        <w:t>Decision</w:t>
      </w:r>
    </w:p>
    <w:p>
      <w:r>
        <w:t>Go as Subcontractor</w:t>
      </w:r>
    </w:p>
    <w:p>
      <w:r>
        <w:t>Threat Tec is well-positioned to join a winning team by offering high-scoring Qualifying Projects and specialized RDT&amp;E expertise. Missing mandatory facility clearance and CMMC certifications eliminate a prime pursuit.</w:t>
      </w:r>
    </w:p>
    <w:p>
      <w:pPr>
        <w:pStyle w:val="Heading2"/>
      </w:pPr>
      <w:r>
        <w:t>Bid Summary</w:t>
      </w:r>
    </w:p>
    <w:tbl>
      <w:tblPr>
        <w:tblStyle w:val="LightList-Accent1"/>
        <w:tblW w:type="auto" w:w="0"/>
        <w:tblLook w:firstColumn="1" w:firstRow="1" w:lastColumn="0" w:lastRow="0" w:noHBand="0" w:noVBand="1" w:val="04A0"/>
      </w:tblPr>
      <w:tblGrid>
        <w:gridCol w:w="5184"/>
        <w:gridCol w:w="5184"/>
      </w:tblGrid>
      <w:tr>
        <w:tc>
          <w:tcPr>
            <w:tcW w:type="dxa" w:w="5184"/>
          </w:tcPr>
          <w:p>
            <w:r>
              <w:t>Recommendation</w:t>
            </w:r>
          </w:p>
        </w:tc>
        <w:tc>
          <w:tcPr>
            <w:tcW w:type="dxa" w:w="5184"/>
          </w:tcPr>
          <w:p>
            <w:r>
              <w:t>Go as Subcontractor</w:t>
            </w:r>
          </w:p>
        </w:tc>
      </w:tr>
      <w:tr>
        <w:tc>
          <w:tcPr>
            <w:tcW w:type="dxa" w:w="5184"/>
          </w:tcPr>
          <w:p>
            <w:r>
              <w:t>Bid posture</w:t>
            </w:r>
          </w:p>
        </w:tc>
        <w:tc>
          <w:tcPr>
            <w:tcW w:type="dxa" w:w="5184"/>
          </w:tcPr>
          <w:p>
            <w:r>
              <w:t>Subcontractor</w:t>
            </w:r>
          </w:p>
        </w:tc>
      </w:tr>
      <w:tr>
        <w:tc>
          <w:tcPr>
            <w:tcW w:type="dxa" w:w="5184"/>
          </w:tcPr>
          <w:p>
            <w:r>
              <w:t>Readiness</w:t>
            </w:r>
          </w:p>
        </w:tc>
        <w:tc>
          <w:tcPr>
            <w:tcW w:type="dxa" w:w="5184"/>
          </w:tcPr>
          <w:p>
            <w:r>
              <w:t>Ready now</w:t>
            </w:r>
          </w:p>
        </w:tc>
      </w:tr>
    </w:tbl>
    <w:p>
      <w:pPr>
        <w:pStyle w:val="Heading2"/>
      </w:pPr>
      <w:r>
        <w:t>Key Decision Drivers</w:t>
      </w:r>
    </w:p>
    <w:p>
      <w:pPr>
        <w:pStyle w:val="ListBullet"/>
      </w:pPr>
      <w:r>
        <w:t>Niche wargaming capabilities and $170M in DoD past performance provide high-scoring Qualifying Projects for a prime's scorecard.</w:t>
      </w:r>
    </w:p>
    <w:p>
      <w:pPr>
        <w:pStyle w:val="ListBullet"/>
      </w:pPr>
      <w:r>
        <w:t>The solicitation mandates an Active Secret Facility Clearance and CMMC Level 2 for initial screening, which Threat Tec lacks.</w:t>
      </w:r>
    </w:p>
    <w:p>
      <w:pPr>
        <w:pStyle w:val="ListBullet"/>
      </w:pPr>
      <w:r>
        <w:t>We must map specific Qualifying Projects to MAPS domains to finalize our target list of prime partners and tailor the pitch.</w:t>
      </w:r>
    </w:p>
    <w:p>
      <w:pPr>
        <w:pStyle w:val="Heading2"/>
      </w:pPr>
      <w:r>
        <w:t>Recommended Capture Actions</w:t>
      </w:r>
    </w:p>
    <w:p>
      <w:pPr>
        <w:pStyle w:val="ListBullet"/>
      </w:pPr>
      <w:r>
        <w:t>Conduct an immediate internal audit to definitively confirm the status of Facility Clearance (FCL) and CMMC Level 2 compliance.</w:t>
      </w:r>
    </w:p>
    <w:p>
      <w:pPr>
        <w:pStyle w:val="ListBullet"/>
      </w:pPr>
      <w:r>
        <w:t>Identify top 5-10 MAPS Prime candidates (Large or Emerging Large) targeting the RDT&amp;E or Engineering domains.</w:t>
      </w:r>
    </w:p>
    <w:p>
      <w:pPr>
        <w:pStyle w:val="ListBullet"/>
      </w:pPr>
      <w:r>
        <w:t>Develop a subcontractor value proposition highlighting $170M+ DoD past performance and niche Wargaming/Threat Emulation capabilities.</w:t>
      </w:r>
    </w:p>
    <w:p>
      <w:pPr>
        <w:pStyle w:val="Heading2"/>
      </w:pPr>
      <w:r>
        <w:t>Decision watchouts</w:t>
      </w:r>
    </w:p>
    <w:p>
      <w:pPr>
        <w:pStyle w:val="Heading3"/>
      </w:pPr>
      <w:r>
        <w:t>Why not prime</w:t>
      </w:r>
    </w:p>
    <w:p>
      <w:pPr>
        <w:pStyle w:val="ListBullet"/>
      </w:pPr>
      <w:r>
        <w:t>Missing Mandatory Prime Certifications (Prime blocker): Threat Tec lacks the Active Secret Facility Clearance and CMMC Level 2 required to pass the Prime screening questions.</w:t>
      </w:r>
    </w:p>
    <w:p>
      <w:pPr>
        <w:pStyle w:val="ListBullet"/>
      </w:pPr>
      <w:r>
        <w:t>Prime Compliance Blockers (Prime blocker): Missing Active Secret FCL and CMMC Level 2 prevent a Prime bid.</w:t>
      </w:r>
    </w:p>
    <w:p>
      <w:pPr>
        <w:pStyle w:val="Heading3"/>
      </w:pPr>
      <w:r>
        <w:t>Still to verify</w:t>
      </w:r>
    </w:p>
    <w:p>
      <w:pPr>
        <w:pStyle w:val="ListBullet"/>
      </w:pPr>
      <w:r>
        <w:t>Does Threat Tec currently hold an unlisted Active Secret Facility Clearance or CMMC Level 2 certification that would alter the Prime viability assessment? (Open question): If yes, the company could pivot to a Prime pursuit posture. If no, Subcontracting remains the only viable path.</w:t>
      </w:r>
    </w:p>
    <w:p>
      <w:pPr>
        <w:pStyle w:val="ListBullet"/>
      </w:pPr>
      <w:r>
        <w:t>Which specific MAPS domains (e.g., RDT&amp;E, Engineering) best align with Threat Tec's Qualifying Projects (QPs) to maximize a Prime's scorecard? (Open question): Determines the targeted list of Prime partners and the specific value proposition to pitch.</w:t>
      </w:r>
    </w:p>
    <w:p>
      <w:pPr>
        <w:pStyle w:val="Heading2"/>
      </w:pPr>
      <w:r>
        <w:t>Requirements at a Glance</w:t>
      </w:r>
    </w:p>
    <w:p>
      <w:r>
        <w:t>This solicitation includes 40 required obligations and 4 attachment-derived requirements.</w:t>
      </w:r>
    </w:p>
    <w:p>
      <w:r>
        <w:t>Top themes</w:t>
      </w:r>
    </w:p>
    <w:p>
      <w:pPr>
        <w:pStyle w:val="ListBullet"/>
      </w:pPr>
      <w:r>
        <w:t>Submit the Attachment 0002 scorecard with the supporting documentation needed to substantiate each claimed system, certification, clearance, or other scored element.</w:t>
      </w:r>
    </w:p>
    <w:p>
      <w:pPr>
        <w:pStyle w:val="ListBullet"/>
      </w:pPr>
      <w:r>
        <w:t>Answer yes to every applicable Attachment 0002 Section 01 screening question or the proposal will not be evaluated further.</w:t>
      </w:r>
    </w:p>
    <w:p>
      <w:pPr>
        <w:pStyle w:val="ListBullet"/>
      </w:pPr>
      <w:r>
        <w:t>The Contractor must provide sufficient justification to support revised rates that supersede previously proposed rates, excluding cost overruns caused by mismanagement or inefficiency.</w:t>
      </w:r>
    </w:p>
    <w:p>
      <w:r>
        <w:t>Major submission requirements</w:t>
      </w:r>
    </w:p>
    <w:p>
      <w:pPr>
        <w:pStyle w:val="ListBullet"/>
      </w:pPr>
      <w:r>
        <w:t>Submit the Attachment 0002 scorecard with the supporting documentation needed to substantiate each claimed system, certification, clearance, or other scored element.</w:t>
      </w:r>
    </w:p>
    <w:p>
      <w:pPr>
        <w:pStyle w:val="ListBullet"/>
      </w:pPr>
      <w:r>
        <w:t>The Contractor must provide sufficient justification to support revised rates that supersede previously proposed rates, excluding cost overruns caused by mismanagement or inefficiency.</w:t>
      </w:r>
    </w:p>
    <w:p>
      <w:pPr>
        <w:pStyle w:val="ListBullet"/>
      </w:pPr>
      <w:r>
        <w:t>Submit the proposal by May 2026.</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Due date</w:t>
            </w:r>
          </w:p>
        </w:tc>
        <w:tc>
          <w:tcPr>
            <w:tcW w:type="dxa" w:w="5184"/>
          </w:tcPr>
          <w:p>
            <w:r>
              <w:t>2026-05-01</w:t>
            </w:r>
          </w:p>
        </w:tc>
      </w:tr>
      <w:tr>
        <w:tc>
          <w:tcPr>
            <w:tcW w:type="dxa" w:w="5184"/>
          </w:tcPr>
          <w:p>
            <w:r>
              <w:t>Place of performance</w:t>
            </w:r>
          </w:p>
        </w:tc>
        <w:tc>
          <w:tcPr>
            <w:tcW w:type="dxa" w:w="5184"/>
          </w:tcPr>
          <w:p>
            <w:r>
              <w:t>Aberdeen Proving Ground, Maryland, UNITED STATES</w:t>
            </w:r>
          </w:p>
        </w:tc>
      </w:tr>
      <w:tr>
        <w:tc>
          <w:tcPr>
            <w:tcW w:type="dxa" w:w="5184"/>
          </w:tcPr>
          <w:p>
            <w:r>
              <w:t>Evaluation basis</w:t>
            </w:r>
          </w:p>
        </w:tc>
        <w:tc>
          <w:tcPr>
            <w:tcW w:type="dxa" w:w="5184"/>
          </w:tcPr>
          <w:p>
            <w:r>
              <w:t>The government will apply screening questions to initial submissions before conducting a deeper evaluation</w:t>
            </w:r>
          </w:p>
        </w:tc>
      </w:tr>
    </w:tbl>
    <w:p>
      <w:r>
        <w:t>UPDATE: This notice annouces the issuance of Amendment 0001 to the MAPS Solicitation (Solicitation W15P7T26RA006). The following documents are attached for your review: A summary of key changes The amended solicitation document All ammended attachments Army Contracting Command-Aberdeen Proving Ground (ACC-APG), in support of the Capability Program Executive (CPE) Enterprise Software and Service (ES2) (formerly known as Program Executive Office (PEO) Enterprise), intends to award a Multiple Award (MA) Indefinite Delivery Indefinite Quantity (IDIQ) contract, MAPS. This is the follow-on and combination of the ACC-APG Responsive Strategic Sourcing for Services (RS3) and Product Lead (PL) Digital Market’s Information Technology Enterprise Solutions – 3 Services (ITES-3S) IDIQ Contract Vehicles. The objective of the MAPS IDIQ contract is to provide Army customers, Portfolio Acquisition Executives (PAE), CPEs, Department of War (DoW) agencies, and other federal agencies with uncommon knowledge-based professional services and support the Army enterprise infrastructure and infostructure goals with information technology (IT) services worldwide (inside the contiguous United States (CONUS) and outside the contiguous United States (OCONUS)), including hostile areas. By combining these vehicles, the Army aims to enhance flexibility, reduce redundancy, and improve cost-efficiency in acquiring uncommon knowledge-based professional services. This integration will also ensure a unified approach in meeting the Army’s evolving technology and strategic needs, thus optimizing mission readiness and effectiveness. Please note, due to system constraints within sam.gov it only allowed one NAICS to be identified; however, this acquisition contains five primary NAICS codes as identified in the solicitation.</w:t>
      </w:r>
    </w:p>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THREAT TEC, LLC</w:t>
            </w:r>
          </w:p>
        </w:tc>
      </w:tr>
      <w:tr>
        <w:tc>
          <w:tcPr>
            <w:tcW w:type="dxa" w:w="5184"/>
          </w:tcPr>
          <w:p>
            <w:r>
              <w:t>Core capabilities</w:t>
            </w:r>
          </w:p>
        </w:tc>
        <w:tc>
          <w:tcPr>
            <w:tcW w:type="dxa" w:w="5184"/>
          </w:tcPr>
          <w:p>
            <w:r>
              <w:t>Intelligence and Threat Emulation, Data and Visualization, Mission Engineering, Wargaming and Simulation, Vehicle VISMOD</w:t>
            </w:r>
          </w:p>
        </w:tc>
      </w:tr>
      <w:tr>
        <w:tc>
          <w:tcPr>
            <w:tcW w:type="dxa" w:w="5184"/>
          </w:tcPr>
          <w:p>
            <w:r>
              <w:t>Strengths</w:t>
            </w:r>
          </w:p>
        </w:tc>
        <w:tc>
          <w:tcPr>
            <w:tcW w:type="dxa" w:w="5184"/>
          </w:tcPr>
          <w:p>
            <w:r>
              <w:t>Inc. 5000 Honoree (4 consecutive years), 2025 Vet100 Honoree, 2026 Top Virginia Employer for Interns, Legitimate near peer sparring partner</w:t>
            </w:r>
          </w:p>
        </w:tc>
      </w:tr>
      <w:tr>
        <w:tc>
          <w:tcPr>
            <w:tcW w:type="dxa" w:w="5184"/>
          </w:tcPr>
          <w:p>
            <w:r>
              <w:t>Major gaps</w:t>
            </w:r>
          </w:p>
        </w:tc>
        <w:tc>
          <w:tcPr>
            <w:tcW w:type="dxa" w:w="5184"/>
          </w:tcPr>
          <w:p>
            <w:r>
              <w:t>No documented clearances</w:t>
            </w:r>
          </w:p>
        </w:tc>
      </w:tr>
      <w:tr>
        <w:tc>
          <w:tcPr>
            <w:tcW w:type="dxa" w:w="5184"/>
          </w:tcPr>
          <w:p>
            <w:r>
              <w:t>Business statuses</w:t>
            </w:r>
          </w:p>
        </w:tc>
        <w:tc>
          <w:tcPr>
            <w:tcW w:type="dxa" w:w="5184"/>
          </w:tcPr>
          <w:p>
            <w:r>
              <w:t>Small business, Veteran-owned business, Fast-Growing</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