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V Department Combat Weapon System Technology and Engineering Support - Capture Assessment</w:t>
      </w:r>
    </w:p>
    <w:p>
      <w:r>
        <w:t>Company: TECHNOLOGY UNLIMITED GROUP</w:t>
      </w:r>
    </w:p>
    <w:p>
      <w:r>
        <w:t>Target a subcontracting role to provide specialized digital data link and C4I mission planning support. While the prime requirements far exceed current scale and vehicle holdings, TUG's deep Navy CDL experience offers high value to large primes.</w:t>
      </w:r>
    </w:p>
    <w:p>
      <w:pPr>
        <w:pStyle w:val="Heading2"/>
      </w:pPr>
      <w:r>
        <w:t>Why This Call Lands Here</w:t>
      </w:r>
    </w:p>
    <w:p>
      <w:pPr>
        <w:pStyle w:val="ListBullet"/>
      </w:pPr>
      <w:r>
        <w:t>Strong Subcontracting Alignment: TUG can secure workshare by partnering with a prime.</w:t>
      </w:r>
    </w:p>
    <w:p>
      <w:pPr>
        <w:pStyle w:val="ListBullet"/>
      </w:pPr>
      <w:r>
        <w:t>Socioeconomic Value: Makes TUG an attractive teammate for large primes needing small business goals.</w:t>
      </w:r>
    </w:p>
    <w:p>
      <w:pPr>
        <w:pStyle w:val="ListBullet"/>
      </w:pPr>
      <w:r>
        <w:t>Prime Path Blocked by Scale and Vehicle: TUG cannot bid as a prime without Seaport-NxG and the required scale.</w:t>
      </w:r>
    </w:p>
    <w:p>
      <w:pPr>
        <w:pStyle w:val="ListBullet"/>
      </w:pPr>
      <w:r>
        <w:t>Domain Expertise Gap for Prime: Core SOW requires Aegis/SSDS expertise which TUG lacks.</w:t>
      </w:r>
    </w:p>
    <w:p>
      <w:pPr>
        <w:pStyle w:val="Heading2"/>
      </w:pPr>
      <w:r>
        <w:t>Recommended Capture Actions</w:t>
      </w:r>
    </w:p>
    <w:p>
      <w:pPr>
        <w:pStyle w:val="ListBullet"/>
      </w:pPr>
      <w:r>
        <w:t>Verify TUG's Seaport-NxG MAC status and Top Secret FCL status internally.</w:t>
      </w:r>
    </w:p>
    <w:p>
      <w:pPr>
        <w:pStyle w:val="ListBullet"/>
      </w:pPr>
      <w:r>
        <w:t>Draft and submit a 10-page capability statement by May 1, 2026.</w:t>
      </w:r>
    </w:p>
    <w:p>
      <w:pPr>
        <w:pStyle w:val="ListBullet"/>
      </w:pPr>
      <w:r>
        <w:t>Register for and attend the Industry Day on May 14, 2026.</w:t>
      </w:r>
    </w:p>
    <w:p>
      <w:pPr>
        <w:pStyle w:val="Heading2"/>
      </w:pPr>
      <w:r>
        <w:t>Requirements That Shape the Proposal</w:t>
      </w:r>
    </w:p>
    <w:p>
      <w:pPr>
        <w:pStyle w:val="Heading3"/>
      </w:pPr>
      <w:r>
        <w:t>Submission</w:t>
      </w:r>
    </w:p>
    <w:p>
      <w:pPr>
        <w:pStyle w:val="ListBullet"/>
      </w:pPr>
      <w:r>
        <w:t>Capability Statements must not exceed 10 pages in length and must use a font size of 9 or greater. (Required) - 30. Please plan to arrive by 09:30 to allow time to get passes picked up from the · p.2</w:t>
      </w:r>
    </w:p>
    <w:p>
      <w:pPr>
        <w:pStyle w:val="ListBullet"/>
      </w:pPr>
      <w:r>
        <w:t>Capability Statements must include a company profile, capabilities description, personnel qualifications, certifications, corporate experience, surge capability, and a statement on meeting subcontracting limitations. (Required) - 30. Please plan to arrive by 09:30 to allow time to get passes picked up from the · p.2</w:t>
      </w:r>
    </w:p>
    <w:p>
      <w:pPr>
        <w:pStyle w:val="ListBullet"/>
      </w:pPr>
      <w:r>
        <w:t>Post-award resumes must follow a specific format, not exceed three (3) pages, and include a signed certification statement. (Required) - C.20 POST AWARD RESUME FORMAT AND CONTENT REQUIREMENTS · p.31</w:t>
      </w:r>
    </w:p>
    <w:p>
      <w:pPr>
        <w:pStyle w:val="Heading3"/>
      </w:pPr>
      <w:r>
        <w:t>Security / Privacy</w:t>
      </w:r>
    </w:p>
    <w:p>
      <w:pPr>
        <w:pStyle w:val="ListBullet"/>
      </w:pPr>
      <w:r>
        <w:t>All personnel directly supporting the Task Order must have a minimum of a SECRET security clearance. Specific Key Personnel require TOP SECRET with SCI eligibility. (Required) - C.8.1 Personnel and Facility Clearance Requirements · p.18</w:t>
      </w:r>
    </w:p>
    <w:p>
      <w:pPr>
        <w:pStyle w:val="ListBullet"/>
      </w:pPr>
      <w:r>
        <w:t>The Contractor must provide a secure data transmission line connecting their classified IT environment to NSWCDD's computing environment via Type 1 approved encryption device within 180 days of award. (Required) - C.8.16 SECURE LINK · p.24</w:t>
      </w:r>
    </w:p>
    <w:p>
      <w:pPr>
        <w:pStyle w:val="ListBullet"/>
      </w:pPr>
      <w:r>
        <w:t>Personnel performing Information Assurance (IA) functions must possess an approved commercial certification per DOD 8570.01-M at the time of performance start. (Required) - C.5 SKILLS AND TRAINING · p.14</w:t>
      </w:r>
    </w:p>
    <w:p>
      <w:pPr>
        <w:pStyle w:val="Heading3"/>
      </w:pPr>
      <w:r>
        <w:t>Key Personnel / Staffing</w:t>
      </w:r>
    </w:p>
    <w:p>
      <w:pPr>
        <w:pStyle w:val="ListBullet"/>
      </w:pPr>
      <w:r>
        <w:t>The Offeror must propose the exact Level of Effort provided in the Labor Mix table, totaling 857,472 hours (including 10% surge) over the 5-year period. (Required) - A. Labor Mix · p.1</w:t>
      </w:r>
    </w:p>
    <w:p>
      <w:pPr>
        <w:pStyle w:val="ListBullet"/>
      </w:pPr>
      <w:r>
        <w:t>The Contractor must provide 17 Key Personnel FTEs meeting the specific desired attributes and experience levels outlined in the Key Personnel Qualifications table. (Required) - D. Key Personnel Qualifications · p.4</w:t>
      </w:r>
    </w:p>
    <w:p>
      <w:pPr>
        <w:pStyle w:val="Heading3"/>
      </w:pPr>
      <w:r>
        <w:t>Schedule</w:t>
      </w:r>
    </w:p>
    <w:p>
      <w:pPr>
        <w:pStyle w:val="ListBullet"/>
      </w:pPr>
      <w:r>
        <w:t>Capability Statements must be submitted via email no later than NOON EST on 1 May 2026. (Required) - p.3</w:t>
      </w:r>
    </w:p>
    <w:p>
      <w:pPr>
        <w:pStyle w:val="Heading2"/>
      </w:pPr>
      <w:r>
        <w:t>Still to verify</w:t>
      </w:r>
    </w:p>
    <w:p>
      <w:pPr>
        <w:pStyle w:val="ListBullet"/>
      </w:pPr>
      <w:r>
        <w:t>Does TUG currently hold a Seaport-NxG MAC IDIQ contract? (Open question): If yes, TUG could theoretically prime, though scale remains a massive barrier. If no, the prime path is definitively closed.</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Naval Surface Warfare Center, Dahlgren Division (NSWCDD)</w:t>
            </w:r>
          </w:p>
        </w:tc>
      </w:tr>
      <w:tr>
        <w:tc>
          <w:tcPr>
            <w:tcW w:type="dxa" w:w="5184"/>
          </w:tcPr>
          <w:p>
            <w:r>
              <w:t>Due date</w:t>
            </w:r>
          </w:p>
        </w:tc>
        <w:tc>
          <w:tcPr>
            <w:tcW w:type="dxa" w:w="5184"/>
          </w:tcPr>
          <w:p>
            <w:r>
              <w:t>2026-05-01</w:t>
            </w:r>
          </w:p>
        </w:tc>
      </w:tr>
      <w:tr>
        <w:tc>
          <w:tcPr>
            <w:tcW w:type="dxa" w:w="5184"/>
          </w:tcPr>
          <w:p>
            <w:r>
              <w:t>Place of performance</w:t>
            </w:r>
          </w:p>
        </w:tc>
        <w:tc>
          <w:tcPr>
            <w:tcW w:type="dxa" w:w="5184"/>
          </w:tcPr>
          <w:p>
            <w:r>
              <w:t>Dahlgren, Virginia, UNITED STATES</w:t>
            </w:r>
          </w:p>
        </w:tc>
      </w:tr>
      <w:tr>
        <w:tc>
          <w:tcPr>
            <w:tcW w:type="dxa" w:w="5184"/>
          </w:tcPr>
          <w:p>
            <w:r>
              <w:t>Evaluation basis</w:t>
            </w:r>
          </w:p>
        </w:tc>
        <w:tc>
          <w:tcPr>
            <w:tcW w:type="dxa" w:w="5184"/>
          </w:tcPr>
          <w:p>
            <w:r>
              <w:t>The government will evaluate proposals based on certifications, systems, and evidence of qualifying projects</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TECHNOLOGY UNLIMITED GROUP</w:t>
            </w:r>
          </w:p>
        </w:tc>
      </w:tr>
      <w:tr>
        <w:tc>
          <w:tcPr>
            <w:tcW w:type="dxa" w:w="5184"/>
          </w:tcPr>
          <w:p>
            <w:r>
              <w:t>Core capabilities</w:t>
            </w:r>
          </w:p>
        </w:tc>
        <w:tc>
          <w:tcPr>
            <w:tcW w:type="dxa" w:w="5184"/>
          </w:tcPr>
          <w:p>
            <w:r>
              <w:t>Acquisition Support, Algorithms Analysis, Common Data Link, Cryptology Design, Engineering Service, Modeling Networking</w:t>
            </w:r>
          </w:p>
        </w:tc>
      </w:tr>
      <w:tr>
        <w:tc>
          <w:tcPr>
            <w:tcW w:type="dxa" w:w="5184"/>
          </w:tcPr>
          <w:p>
            <w:r>
              <w:t>Strengths</w:t>
            </w:r>
          </w:p>
        </w:tc>
        <w:tc>
          <w:tcPr>
            <w:tcW w:type="dxa" w:w="5184"/>
          </w:tcPr>
          <w:p>
            <w:r>
              <w:t>Extensive experience with U.S. Navy Common Data Link (CDL) terminals, Expertise in Secret and SCI system certification, Specialized knowledge of SIGINT and horizon extension applications, Highly specialized knowledge of customer processes</w:t>
            </w:r>
          </w:p>
        </w:tc>
      </w:tr>
      <w:tr>
        <w:tc>
          <w:tcPr>
            <w:tcW w:type="dxa" w:w="5184"/>
          </w:tcPr>
          <w:p>
            <w:r>
              <w:t>Major gaps</w:t>
            </w:r>
          </w:p>
        </w:tc>
        <w:tc>
          <w:tcPr>
            <w:tcW w:type="dxa" w:w="5184"/>
          </w:tcPr>
          <w:p>
            <w:r>
              <w:t>No documented contract vehicles, No documented certifications</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