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left"/>
      </w:pPr>
      <w:r>
        <w:rPr>
          <w:b/>
        </w:rPr>
        <w:t>V Department Combat Weapon System Technology and Engineering Support - Brief</w:t>
      </w:r>
    </w:p>
    <w:p>
      <w:r>
        <w:t>Company: TECHNOLOGY UNLIMITED GROUP</w:t>
      </w:r>
    </w:p>
    <w:p>
      <w:pPr>
        <w:pStyle w:val="Heading1"/>
      </w:pPr>
      <w:r>
        <w:t>Decision</w:t>
      </w:r>
    </w:p>
    <w:p>
      <w:r>
        <w:t>Go as Subcontractor</w:t>
      </w:r>
    </w:p>
    <w:p>
      <w:r>
        <w:t>Target a subcontracting role to provide specialized digital data link and C4I mission planning support. While the prime requirements far exceed current scale and vehicle holdings, TUG's deep Navy CDL experience offers high value to large primes.</w:t>
      </w:r>
    </w:p>
    <w:p>
      <w:pPr>
        <w:pStyle w:val="Heading2"/>
      </w:pPr>
      <w:r>
        <w:t>Bid Summary</w:t>
      </w:r>
    </w:p>
    <w:tbl>
      <w:tblPr>
        <w:tblStyle w:val="LightList-Accent1"/>
        <w:tblW w:type="auto" w:w="0"/>
        <w:tblLook w:firstColumn="1" w:firstRow="1" w:lastColumn="0" w:lastRow="0" w:noHBand="0" w:noVBand="1" w:val="04A0"/>
      </w:tblPr>
      <w:tblGrid>
        <w:gridCol w:w="5184"/>
        <w:gridCol w:w="5184"/>
      </w:tblGrid>
      <w:tr>
        <w:tc>
          <w:tcPr>
            <w:tcW w:type="dxa" w:w="5184"/>
          </w:tcPr>
          <w:p>
            <w:r>
              <w:t>Recommendation</w:t>
            </w:r>
          </w:p>
        </w:tc>
        <w:tc>
          <w:tcPr>
            <w:tcW w:type="dxa" w:w="5184"/>
          </w:tcPr>
          <w:p>
            <w:r>
              <w:t>Go as Subcontractor</w:t>
            </w:r>
          </w:p>
        </w:tc>
      </w:tr>
      <w:tr>
        <w:tc>
          <w:tcPr>
            <w:tcW w:type="dxa" w:w="5184"/>
          </w:tcPr>
          <w:p>
            <w:r>
              <w:t>Bid posture</w:t>
            </w:r>
          </w:p>
        </w:tc>
        <w:tc>
          <w:tcPr>
            <w:tcW w:type="dxa" w:w="5184"/>
          </w:tcPr>
          <w:p>
            <w:r>
              <w:t>Subcontractor</w:t>
            </w:r>
          </w:p>
        </w:tc>
      </w:tr>
      <w:tr>
        <w:tc>
          <w:tcPr>
            <w:tcW w:type="dxa" w:w="5184"/>
          </w:tcPr>
          <w:p>
            <w:r>
              <w:t>Readiness</w:t>
            </w:r>
          </w:p>
        </w:tc>
        <w:tc>
          <w:tcPr>
            <w:tcW w:type="dxa" w:w="5184"/>
          </w:tcPr>
          <w:p>
            <w:r>
              <w:t>Needs validation</w:t>
            </w:r>
          </w:p>
        </w:tc>
      </w:tr>
    </w:tbl>
    <w:p>
      <w:pPr>
        <w:pStyle w:val="Heading2"/>
      </w:pPr>
      <w:r>
        <w:t>Key Decision Drivers</w:t>
      </w:r>
    </w:p>
    <w:p>
      <w:pPr>
        <w:pStyle w:val="ListBullet"/>
      </w:pPr>
      <w:r>
        <w:t>Extensive Navy CDL and Link 22 experience directly supports the SOW's digital data link and C4I mission planning requirements.</w:t>
      </w:r>
    </w:p>
    <w:p>
      <w:pPr>
        <w:pStyle w:val="ListBullet"/>
      </w:pPr>
      <w:r>
        <w:t>The prime scope requires a Seaport-NxG vehicle and ~85 FTEs per year, significantly exceeding TUG's current contract scale.</w:t>
      </w:r>
    </w:p>
    <w:p>
      <w:pPr>
        <w:pStyle w:val="ListBullet"/>
      </w:pPr>
      <w:r>
        <w:t>Capture teams must validate relationships with the incumbent or other large NAVSEA primes to secure a subcontracting agreement.</w:t>
      </w:r>
    </w:p>
    <w:p>
      <w:pPr>
        <w:pStyle w:val="Heading2"/>
      </w:pPr>
      <w:r>
        <w:t>Recommended Capture Actions</w:t>
      </w:r>
    </w:p>
    <w:p>
      <w:pPr>
        <w:pStyle w:val="ListBullet"/>
      </w:pPr>
      <w:r>
        <w:t>Verify TUG's Seaport-NxG MAC status and Top Secret FCL status internally.</w:t>
      </w:r>
    </w:p>
    <w:p>
      <w:pPr>
        <w:pStyle w:val="ListBullet"/>
      </w:pPr>
      <w:r>
        <w:t>Draft and submit a 10-page capability statement by May 1, 2026.</w:t>
      </w:r>
    </w:p>
    <w:p>
      <w:pPr>
        <w:pStyle w:val="ListBullet"/>
      </w:pPr>
      <w:r>
        <w:t>Register for and attend the Industry Day on May 14, 2026.</w:t>
      </w:r>
    </w:p>
    <w:p>
      <w:pPr>
        <w:pStyle w:val="Heading2"/>
      </w:pPr>
      <w:r>
        <w:t>Decision watchouts</w:t>
      </w:r>
    </w:p>
    <w:p>
      <w:pPr>
        <w:pStyle w:val="Heading3"/>
      </w:pPr>
      <w:r>
        <w:t>Why not prime</w:t>
      </w:r>
    </w:p>
    <w:p>
      <w:pPr>
        <w:pStyle w:val="ListBullet"/>
      </w:pPr>
      <w:r>
        <w:t>Massive Scale Gap (Prime blocker): Opportunity requires ~857,000 hours over 5 years. TUG's largest recent contract is $7.7M.</w:t>
      </w:r>
    </w:p>
    <w:p>
      <w:pPr>
        <w:pStyle w:val="ListBullet"/>
      </w:pPr>
      <w:r>
        <w:t>Open Seaport-NxG MAC Holder requirement (Prime blocker): Seaport-NxG MAC Holder is still unresolved in the validated evidence set.</w:t>
      </w:r>
    </w:p>
    <w:p>
      <w:pPr>
        <w:pStyle w:val="ListBullet"/>
      </w:pPr>
      <w:r>
        <w:t>Open Top Secret Facility Clearance requirement (Prime blocker): Top Secret Facility Clearance is still unresolved in the validated evidence set.</w:t>
      </w:r>
    </w:p>
    <w:p>
      <w:pPr>
        <w:pStyle w:val="Heading3"/>
      </w:pPr>
      <w:r>
        <w:t>Still to verify</w:t>
      </w:r>
    </w:p>
    <w:p>
      <w:pPr>
        <w:pStyle w:val="ListBullet"/>
      </w:pPr>
      <w:r>
        <w:t>Does TUG currently hold a Seaport-NxG MAC IDIQ contract? (Open question): If yes, TUG could theoretically prime, though scale remains a massive barrier. If no, the prime path is definitively closed.</w:t>
      </w:r>
    </w:p>
    <w:p>
      <w:pPr>
        <w:pStyle w:val="Heading2"/>
      </w:pPr>
      <w:r>
        <w:t>Requirements at a Glance</w:t>
      </w:r>
    </w:p>
    <w:p>
      <w:r>
        <w:t>This solicitation includes 15 required obligations and 10 attachment-derived requirements.</w:t>
      </w:r>
    </w:p>
    <w:p>
      <w:r>
        <w:t>Top themes</w:t>
      </w:r>
    </w:p>
    <w:p>
      <w:pPr>
        <w:pStyle w:val="ListBullet"/>
      </w:pPr>
      <w:r>
        <w:t>Capability Statements must be submitted via email no later than NOON EST on 1 May 2026.</w:t>
      </w:r>
    </w:p>
    <w:p>
      <w:pPr>
        <w:pStyle w:val="ListBullet"/>
      </w:pPr>
      <w:r>
        <w:t>Capability Statements must not exceed 10 pages in length and must use a font size of 9 or greater.</w:t>
      </w:r>
    </w:p>
    <w:p>
      <w:pPr>
        <w:pStyle w:val="ListBullet"/>
      </w:pPr>
      <w:r>
        <w:t>Capability Statements must include a company profile, capabilities description, personnel qualifications, certifications, corporate experience, surge capability, and a statement on meeting subcontracting limitations.</w:t>
      </w:r>
    </w:p>
    <w:p>
      <w:r>
        <w:t>Major submission requirements</w:t>
      </w:r>
    </w:p>
    <w:p>
      <w:pPr>
        <w:pStyle w:val="ListBullet"/>
      </w:pPr>
      <w:r>
        <w:t>Capability Statements must be submitted via email no later than NOON EST on 1 May 2026.</w:t>
      </w:r>
    </w:p>
    <w:p>
      <w:pPr>
        <w:pStyle w:val="ListBullet"/>
      </w:pPr>
      <w:r>
        <w:t>Capability Statements must not exceed 10 pages in length and must use a font size of 9 or greater.</w:t>
      </w:r>
    </w:p>
    <w:p>
      <w:pPr>
        <w:pStyle w:val="ListBullet"/>
      </w:pPr>
      <w:r>
        <w:t>Capability Statements must include a company profile, capabilities description, personnel qualifications, certifications, corporate experience, surge capability, and a statement on meeting subcontracting limitations.</w:t>
      </w:r>
    </w:p>
    <w:p>
      <w:pPr>
        <w:pStyle w:val="Heading2"/>
      </w:pPr>
      <w:r>
        <w:t>Opportunity Context</w:t>
      </w:r>
    </w:p>
    <w:tbl>
      <w:tblPr>
        <w:tblStyle w:val="LightList-Accent1"/>
        <w:tblW w:type="auto" w:w="0"/>
        <w:tblLook w:firstColumn="1" w:firstRow="1" w:lastColumn="0" w:lastRow="0" w:noHBand="0" w:noVBand="1" w:val="04A0"/>
      </w:tblPr>
      <w:tblGrid>
        <w:gridCol w:w="5184"/>
        <w:gridCol w:w="5184"/>
      </w:tblGrid>
      <w:tr>
        <w:tc>
          <w:tcPr>
            <w:tcW w:type="dxa" w:w="5184"/>
          </w:tcPr>
          <w:p>
            <w:r>
              <w:t>Agency / customer</w:t>
            </w:r>
          </w:p>
        </w:tc>
        <w:tc>
          <w:tcPr>
            <w:tcW w:type="dxa" w:w="5184"/>
          </w:tcPr>
          <w:p>
            <w:r>
              <w:t>Naval Surface Warfare Center, Dahlgren Division (NSWCDD)</w:t>
            </w:r>
          </w:p>
        </w:tc>
      </w:tr>
      <w:tr>
        <w:tc>
          <w:tcPr>
            <w:tcW w:type="dxa" w:w="5184"/>
          </w:tcPr>
          <w:p>
            <w:r>
              <w:t>Due date</w:t>
            </w:r>
          </w:p>
        </w:tc>
        <w:tc>
          <w:tcPr>
            <w:tcW w:type="dxa" w:w="5184"/>
          </w:tcPr>
          <w:p>
            <w:r>
              <w:t>2026-05-01</w:t>
            </w:r>
          </w:p>
        </w:tc>
      </w:tr>
      <w:tr>
        <w:tc>
          <w:tcPr>
            <w:tcW w:type="dxa" w:w="5184"/>
          </w:tcPr>
          <w:p>
            <w:r>
              <w:t>Place of performance</w:t>
            </w:r>
          </w:p>
        </w:tc>
        <w:tc>
          <w:tcPr>
            <w:tcW w:type="dxa" w:w="5184"/>
          </w:tcPr>
          <w:p>
            <w:r>
              <w:t>Dahlgren, Virginia, UNITED STATES</w:t>
            </w:r>
          </w:p>
        </w:tc>
      </w:tr>
      <w:tr>
        <w:tc>
          <w:tcPr>
            <w:tcW w:type="dxa" w:w="5184"/>
          </w:tcPr>
          <w:p>
            <w:r>
              <w:t>Evaluation basis</w:t>
            </w:r>
          </w:p>
        </w:tc>
        <w:tc>
          <w:tcPr>
            <w:tcW w:type="dxa" w:w="5184"/>
          </w:tcPr>
          <w:p>
            <w:r>
              <w:t>The government will evaluate proposals based on certifications, systems, and evidence of qualifying projects</w:t>
            </w:r>
          </w:p>
        </w:tc>
      </w:tr>
    </w:tbl>
    <w:p>
      <w:r>
        <w:t>Follow-on requirement to provide combat weapon system technology and engineering support for the Integrated Combat Systems (ICS) Department (V). Includes combat system engineering, certification, test and evaluation, mission/force/System-of-Systems analysis, and interoperability engineering.</w:t>
      </w:r>
    </w:p>
    <w:p>
      <w:pPr>
        <w:pStyle w:val="Heading2"/>
      </w:pPr>
      <w:r>
        <w:t>Company Context</w:t>
      </w:r>
    </w:p>
    <w:tbl>
      <w:tblPr>
        <w:tblStyle w:val="LightList-Accent1"/>
        <w:tblW w:type="auto" w:w="0"/>
        <w:tblLook w:firstColumn="1" w:firstRow="1" w:lastColumn="0" w:lastRow="0" w:noHBand="0" w:noVBand="1" w:val="04A0"/>
      </w:tblPr>
      <w:tblGrid>
        <w:gridCol w:w="5184"/>
        <w:gridCol w:w="5184"/>
      </w:tblGrid>
      <w:tr>
        <w:tc>
          <w:tcPr>
            <w:tcW w:type="dxa" w:w="5184"/>
          </w:tcPr>
          <w:p>
            <w:r>
              <w:t>Company</w:t>
            </w:r>
          </w:p>
        </w:tc>
        <w:tc>
          <w:tcPr>
            <w:tcW w:type="dxa" w:w="5184"/>
          </w:tcPr>
          <w:p>
            <w:r>
              <w:t>TECHNOLOGY UNLIMITED GROUP</w:t>
            </w:r>
          </w:p>
        </w:tc>
      </w:tr>
      <w:tr>
        <w:tc>
          <w:tcPr>
            <w:tcW w:type="dxa" w:w="5184"/>
          </w:tcPr>
          <w:p>
            <w:r>
              <w:t>Core capabilities</w:t>
            </w:r>
          </w:p>
        </w:tc>
        <w:tc>
          <w:tcPr>
            <w:tcW w:type="dxa" w:w="5184"/>
          </w:tcPr>
          <w:p>
            <w:r>
              <w:t>Acquisition Support, Algorithms Analysis, Common Data Link, Cryptology Design, Engineering Service, Modeling Networking</w:t>
            </w:r>
          </w:p>
        </w:tc>
      </w:tr>
      <w:tr>
        <w:tc>
          <w:tcPr>
            <w:tcW w:type="dxa" w:w="5184"/>
          </w:tcPr>
          <w:p>
            <w:r>
              <w:t>Strengths</w:t>
            </w:r>
          </w:p>
        </w:tc>
        <w:tc>
          <w:tcPr>
            <w:tcW w:type="dxa" w:w="5184"/>
          </w:tcPr>
          <w:p>
            <w:r>
              <w:t>Extensive experience with U.S. Navy Common Data Link (CDL) terminals, Expertise in Secret and SCI system certification, Specialized knowledge of SIGINT and horizon extension applications, Highly specialized knowledge of customer processes</w:t>
            </w:r>
          </w:p>
        </w:tc>
      </w:tr>
      <w:tr>
        <w:tc>
          <w:tcPr>
            <w:tcW w:type="dxa" w:w="5184"/>
          </w:tcPr>
          <w:p>
            <w:r>
              <w:t>Major gaps</w:t>
            </w:r>
          </w:p>
        </w:tc>
        <w:tc>
          <w:tcPr>
            <w:tcW w:type="dxa" w:w="5184"/>
          </w:tcPr>
          <w:p>
            <w:r>
              <w:t>No documented contract vehicles, No documented certifications</w:t>
            </w:r>
          </w:p>
        </w:tc>
      </w:tr>
      <w:tr>
        <w:tc>
          <w:tcPr>
            <w:tcW w:type="dxa" w:w="5184"/>
          </w:tcPr>
          <w:p>
            <w:r>
              <w:t>Business statuses</w:t>
            </w:r>
          </w:p>
        </w:tc>
        <w:tc>
          <w:tcPr>
            <w:tcW w:type="dxa" w:w="5184"/>
          </w:tcPr>
          <w:p>
            <w:r>
              <w:t>Small business, SDVOSB, VOSB</w:t>
            </w:r>
          </w:p>
        </w:tc>
      </w:tr>
    </w:tbl>
    <w:sectPr w:rsidR="00FC693F" w:rsidRPr="0006063C" w:rsidSect="00034616">
      <w:pgSz w:w="12240" w:h="15840"/>
      <w:pgMar w:top="864" w:right="936" w:bottom="864"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