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DA10--Enterprise Digital Government Enablement (EDGE) 36C10B26Q0245 - Capture Assessment</w:t>
      </w:r>
    </w:p>
    <w:p>
      <w:r>
        <w:t>Company: LITHE SOLUTIONS INC</w:t>
      </w:r>
    </w:p>
    <w:p>
      <w:r>
        <w:t>Lithe Solutions possesses strong technical alignment with the EDGE requirements in Agile, DevSecOps, and low code/no code solutions. However, a lack of enterprise scale and zero documented VA past performance dictate a subcontractor strategy.</w:t>
      </w:r>
    </w:p>
    <w:p>
      <w:pPr>
        <w:pStyle w:val="Heading2"/>
      </w:pPr>
      <w:r>
        <w:t>Why This Call Lands Here</w:t>
      </w:r>
    </w:p>
    <w:p>
      <w:pPr>
        <w:pStyle w:val="ListBullet"/>
      </w:pPr>
      <w:r>
        <w:t>Lack of VA Past Performance &amp; Scale: Enterprise VA digital services contracts require significant scale and agency familiarity.</w:t>
      </w:r>
    </w:p>
    <w:p>
      <w:pPr>
        <w:pStyle w:val="ListBullet"/>
      </w:pPr>
      <w:r>
        <w:t>Socio-economic Certifications: Can be leveraged to secure a subcontracting role with a large prime.</w:t>
      </w:r>
    </w:p>
    <w:p>
      <w:pPr>
        <w:pStyle w:val="ListBullet"/>
      </w:pPr>
      <w:r>
        <w:t>Technical Alignment: Core competencies directly map to the EDGE PWS requirements.</w:t>
      </w:r>
    </w:p>
    <w:p>
      <w:pPr>
        <w:pStyle w:val="Heading2"/>
      </w:pPr>
      <w:r>
        <w:t>Recommended Capture Actions</w:t>
      </w:r>
    </w:p>
    <w:p>
      <w:pPr>
        <w:pStyle w:val="ListBullet"/>
      </w:pPr>
      <w:r>
        <w:t>Draft and Submit RFI Response</w:t>
      </w:r>
    </w:p>
    <w:p>
      <w:pPr>
        <w:pStyle w:val="ListBullet"/>
      </w:pPr>
      <w:r>
        <w:t>Identify and Engage Potential Primes</w:t>
      </w:r>
    </w:p>
    <w:p>
      <w:pPr>
        <w:pStyle w:val="ListBullet"/>
      </w:pPr>
      <w:r>
        <w:t>Review Key Personnel Requirements</w:t>
      </w:r>
    </w:p>
    <w:p>
      <w:pPr>
        <w:pStyle w:val="Heading2"/>
      </w:pPr>
      <w:r>
        <w:t>Requirements That Shape the Proposal</w:t>
      </w:r>
    </w:p>
    <w:p>
      <w:pPr>
        <w:pStyle w:val="Heading3"/>
      </w:pPr>
      <w:r>
        <w:t>Security / Privacy</w:t>
      </w:r>
    </w:p>
    <w:p>
      <w:pPr>
        <w:pStyle w:val="ListBullet"/>
      </w:pPr>
      <w:r>
        <w:t>Implement VA Critical Security Controls in network-connected software systems prior to VA authorization. (Required) - 6.1.2 ZERO TRUST – VA CRITICAL SECURITY CONTROLS · p.65</w:t>
      </w:r>
    </w:p>
    <w:p>
      <w:pPr>
        <w:pStyle w:val="ListBullet"/>
      </w:pPr>
      <w:r>
        <w:t>ACCESS AND CONFIGURATION HANDOVER The outgoing Contractor shall transition: System administrator accounts, role-based access, and credentials (in accordance with VA security policy) Source code repositories, configuration files, and CI/CD pipeline documentation Platform configuration settings, APIs, plug-ins, and connectors Test scripts, automated testing tools, and deployment processes All accounts and licenses shal (Required) - ACCESS AND CONFIGURATION HANDOVER</w:t>
      </w:r>
    </w:p>
    <w:p>
      <w:pPr>
        <w:pStyle w:val="ListBullet"/>
      </w:pPr>
      <w:r>
        <w:t>Ensure all COTS products, software configurations, customizations, and new software are PIV card-enabled using VA EA and IAM approved ETGs. (Required) - FEDERAL IDENTITY, CREDENTIAL, AND ACCESS MANAGEMENT (FICAM)</w:t>
      </w:r>
    </w:p>
    <w:p>
      <w:pPr>
        <w:pStyle w:val="Heading3"/>
      </w:pPr>
      <w:r>
        <w:t>Technical</w:t>
      </w:r>
    </w:p>
    <w:p>
      <w:pPr>
        <w:pStyle w:val="ListBullet"/>
      </w:pPr>
      <w:r>
        <w:t>Describe experience staffing and managing a minimum of 200 concurrent Scrum teams. (Required) - RFI Response Instructions · p.2</w:t>
      </w:r>
    </w:p>
    <w:p>
      <w:pPr>
        <w:pStyle w:val="ListBullet"/>
      </w:pPr>
      <w:r>
        <w:t>The Contractor shall provide four-week iterations per exercise of O&amp;M supported by one FTE (minimum of one FTE resource (one FTE= 1,920 hours per year; minimum 147.7 hours per 4-week iteration per FTE) delivered with the appropriate technical skill sets listed above and in accordance with Section 5.1.7 Project Management Oversight/Key Personnel (as applicable). (If Applicable) - EXISTING EDGE SOLUTIONS O&amp;M (OPTIONAL TASK 6)</w:t>
      </w:r>
    </w:p>
    <w:p>
      <w:pPr>
        <w:pStyle w:val="ListBullet"/>
      </w:pPr>
      <w:r>
        <w:t>INFORMATION TECHNOLOGY INFRASTRUCTURE LIBRARY (ITIL) SERVICE OPERATIONS The Contractor shall provide Information Technology Infrastructure Library (ITIL) services operations for Incident Management, Event Management, Access Management, Request Fulfillment, and Problem Management. (Required) - INFORMATION TECHNOLOGY INFRASTRUCTURE LIBRARY (ITIL) SERVICE OPERATIONS</w:t>
      </w:r>
    </w:p>
    <w:p>
      <w:pPr>
        <w:pStyle w:val="Heading3"/>
      </w:pPr>
      <w:r>
        <w:t>Deliverables</w:t>
      </w:r>
    </w:p>
    <w:p>
      <w:pPr>
        <w:pStyle w:val="ListBullet"/>
      </w:pPr>
      <w:r>
        <w:t>Additionally, the Contractor shall provide a status of all reportable GFE as part of the Monthly Status Report as required by PWS paragraph 5.1. (Required) - 300 laptops</w:t>
      </w:r>
    </w:p>
    <w:p>
      <w:pPr>
        <w:pStyle w:val="ListBullet"/>
      </w:pPr>
      <w:r>
        <w:t>WEEKLY ACTIVITY REPORT The Contractor shall provide a Weekly Activity Report to include the EDGE Program Brief detailing any risks and dependencies on a weekly basis. (Required) - WEEKLY ACTIVITY REPORT</w:t>
      </w:r>
    </w:p>
    <w:p>
      <w:pPr>
        <w:pStyle w:val="ListBullet"/>
      </w:pPr>
      <w:r>
        <w:t>The Contractor shall provide Elevated Permissions Training Certificate. (Required) - ELEVATED PERMISSIONS TRAINING</w:t>
      </w:r>
    </w:p>
    <w:p>
      <w:pPr>
        <w:pStyle w:val="Heading3"/>
      </w:pPr>
      <w:r>
        <w:t>Contractual / Admin</w:t>
      </w:r>
    </w:p>
    <w:p>
      <w:pPr>
        <w:pStyle w:val="ListBullet"/>
      </w:pPr>
      <w:r>
        <w:t>ACCESS AND ENVIRONMENT VALIDATION The Contractor shall validate that all system administrator accounts, user access, credentials, and licenses have been transitioned to VA-controlled ownership. (Required) - ACCESS AND ENVIRONMENT VALIDATION</w:t>
      </w:r>
    </w:p>
    <w:p>
      <w:pPr>
        <w:pStyle w:val="ListBullet"/>
      </w:pPr>
      <w:r>
        <w:t>The Contractor shall develop a Transition Acceptance Report as formal certification that the Contractor has received, validated, and assumed ownership of all required documentation, access, and responsibilities. (Required) - INCOMING TRANSITION STATUS AND REPORTING</w:t>
      </w:r>
    </w:p>
    <w:p>
      <w:pPr>
        <w:pStyle w:val="ListBullet"/>
      </w:pPr>
      <w:r>
        <w:t>OUTGOING TRANSITION STATUS AND REPORTING Provide incoming Contractor acknowledges sufficient receipt of documentation, access, and knowledge transfer to assume project responsibilities. (Required) - OUTGOING TRANSITION STATUS AND REPORTING</w:t>
      </w:r>
    </w:p>
    <w:p>
      <w:pPr>
        <w:pStyle w:val="Heading2"/>
      </w:pPr>
      <w:r>
        <w:t>Still to verify</w:t>
      </w:r>
    </w:p>
    <w:p>
      <w:pPr>
        <w:pStyle w:val="ListBullet"/>
      </w:pPr>
      <w:r>
        <w:t>Lack of VA Past Performance (Needs confirmation): Lithe has no documented past performance with the Department of Veterans Affairs.</w:t>
      </w:r>
    </w:p>
    <w:p>
      <w:pPr>
        <w:pStyle w:val="ListBullet"/>
      </w:pPr>
      <w:r>
        <w:t>Insufficient Scale (Needs confirmation): Total federal obligations of $2.3M suggest a lack of scale for an enterprise-level VA digital services contract.</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Agency / customer</w:t>
            </w:r>
          </w:p>
        </w:tc>
        <w:tc>
          <w:tcPr>
            <w:tcW w:type="dxa" w:w="5184"/>
          </w:tcPr>
          <w:p>
            <w:r>
              <w:t>Department of Veterans Affairs TECHNOLOGY ACQUISITION CENTER NJ (36C10B)</w:t>
            </w:r>
          </w:p>
        </w:tc>
      </w:tr>
      <w:tr>
        <w:tc>
          <w:tcPr>
            <w:tcW w:type="dxa" w:w="5184"/>
          </w:tcPr>
          <w:p>
            <w:r>
              <w:t>Due date</w:t>
            </w:r>
          </w:p>
        </w:tc>
        <w:tc>
          <w:tcPr>
            <w:tcW w:type="dxa" w:w="5184"/>
          </w:tcPr>
          <w:p>
            <w:r>
              <w:t>2026-03-25T15:00:00-04:00</w:t>
            </w:r>
          </w:p>
        </w:tc>
      </w:tr>
    </w:tbl>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Lithe Solutions</w:t>
            </w:r>
          </w:p>
        </w:tc>
      </w:tr>
      <w:tr>
        <w:tc>
          <w:tcPr>
            <w:tcW w:type="dxa" w:w="5184"/>
          </w:tcPr>
          <w:p>
            <w:r>
              <w:t>Core capabilities</w:t>
            </w:r>
          </w:p>
        </w:tc>
        <w:tc>
          <w:tcPr>
            <w:tcW w:type="dxa" w:w="5184"/>
          </w:tcPr>
          <w:p>
            <w:r>
              <w:t>Agile Delivery, Human Centered Design (HCD), Cloud Engineering, DevSecOps, Intelligent Automation (Low Code Solutions)</w:t>
            </w:r>
          </w:p>
        </w:tc>
      </w:tr>
      <w:tr>
        <w:tc>
          <w:tcPr>
            <w:tcW w:type="dxa" w:w="5184"/>
          </w:tcPr>
          <w:p>
            <w:r>
              <w:t>Strengths</w:t>
            </w:r>
          </w:p>
        </w:tc>
        <w:tc>
          <w:tcPr>
            <w:tcW w:type="dxa" w:w="5184"/>
          </w:tcPr>
          <w:p>
            <w:r>
              <w:t>Core capabilities align perfectly with the PWS, Holds highly relevant socio-economic certifications (8(a), WOSB, EDWOSB)</w:t>
            </w:r>
          </w:p>
        </w:tc>
      </w:tr>
      <w:tr>
        <w:tc>
          <w:tcPr>
            <w:tcW w:type="dxa" w:w="5184"/>
          </w:tcPr>
          <w:p>
            <w:r>
              <w:t>Major gaps</w:t>
            </w:r>
          </w:p>
        </w:tc>
        <w:tc>
          <w:tcPr>
            <w:tcW w:type="dxa" w:w="5184"/>
          </w:tcPr>
          <w:p>
            <w:r>
              <w:t>Lack of documented past performance with the Department of Veterans Affairs (VA), Total federal obligations ($2.3M) suggest a lack of scale, No documented clearances or specific VA-required network access experience</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