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DA10--Enterprise Digital Government Enablement (EDGE) 36C10B26Q0245 - Brief</w:t>
      </w:r>
    </w:p>
    <w:p>
      <w:r>
        <w:t>Company: LITHE SOLUTIONS INC</w:t>
      </w:r>
    </w:p>
    <w:p>
      <w:pPr>
        <w:pStyle w:val="Heading1"/>
      </w:pPr>
      <w:r>
        <w:t>Decision</w:t>
      </w:r>
    </w:p>
    <w:p>
      <w:r>
        <w:t>Go as Subcontractor</w:t>
      </w:r>
    </w:p>
    <w:p>
      <w:r>
        <w:t>Lithe Solutions possesses strong technical alignment with the EDGE requirements in Agile, DevSecOps, and low code/no code solutions. However, a lack of enterprise scale and zero documented VA past performance dictate a subcontractor strategy.</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Go as Subcontractor</w:t>
            </w:r>
          </w:p>
        </w:tc>
      </w:tr>
      <w:tr>
        <w:tc>
          <w:tcPr>
            <w:tcW w:type="dxa" w:w="5184"/>
          </w:tcPr>
          <w:p>
            <w:r>
              <w:t>Bid posture</w:t>
            </w:r>
          </w:p>
        </w:tc>
        <w:tc>
          <w:tcPr>
            <w:tcW w:type="dxa" w:w="5184"/>
          </w:tcPr>
          <w:p>
            <w:r>
              <w:t>Subcontractor</w:t>
            </w:r>
          </w:p>
        </w:tc>
      </w:tr>
      <w:tr>
        <w:tc>
          <w:tcPr>
            <w:tcW w:type="dxa" w:w="5184"/>
          </w:tcPr>
          <w:p>
            <w:r>
              <w:t>Readiness</w:t>
            </w:r>
          </w:p>
        </w:tc>
        <w:tc>
          <w:tcPr>
            <w:tcW w:type="dxa" w:w="5184"/>
          </w:tcPr>
          <w:p>
            <w:r>
              <w:t>Needs validation</w:t>
            </w:r>
          </w:p>
        </w:tc>
      </w:tr>
    </w:tbl>
    <w:p>
      <w:pPr>
        <w:pStyle w:val="Heading2"/>
      </w:pPr>
      <w:r>
        <w:t>Key Decision Drivers</w:t>
      </w:r>
    </w:p>
    <w:p>
      <w:pPr>
        <w:pStyle w:val="ListBullet"/>
      </w:pPr>
      <w:r>
        <w:t>Enterprise VA digital services contracts require significant scale and agency familiarity.</w:t>
      </w:r>
    </w:p>
    <w:p>
      <w:pPr>
        <w:pStyle w:val="ListBullet"/>
      </w:pPr>
      <w:r>
        <w:t>Can be leveraged to secure a subcontracting role with a large prime.</w:t>
      </w:r>
    </w:p>
    <w:p>
      <w:pPr>
        <w:pStyle w:val="ListBullet"/>
      </w:pPr>
      <w:r>
        <w:t>Core competencies directly map to the EDGE PWS requirements.</w:t>
      </w:r>
    </w:p>
    <w:p>
      <w:pPr>
        <w:pStyle w:val="Heading2"/>
      </w:pPr>
      <w:r>
        <w:t>Recommended Capture Actions</w:t>
      </w:r>
    </w:p>
    <w:p>
      <w:pPr>
        <w:pStyle w:val="ListBullet"/>
      </w:pPr>
      <w:r>
        <w:t>Draft and Submit RFI Response</w:t>
      </w:r>
    </w:p>
    <w:p>
      <w:pPr>
        <w:pStyle w:val="ListBullet"/>
      </w:pPr>
      <w:r>
        <w:t>Identify and Engage Potential Primes</w:t>
      </w:r>
    </w:p>
    <w:p>
      <w:pPr>
        <w:pStyle w:val="ListBullet"/>
      </w:pPr>
      <w:r>
        <w:t>Review Key Personnel Requirements</w:t>
      </w:r>
    </w:p>
    <w:p>
      <w:pPr>
        <w:pStyle w:val="Heading2"/>
      </w:pPr>
      <w:r>
        <w:t>Decision watchouts</w:t>
      </w:r>
    </w:p>
    <w:p>
      <w:pPr>
        <w:pStyle w:val="Heading3"/>
      </w:pPr>
      <w:r>
        <w:t>Why not prime</w:t>
      </w:r>
    </w:p>
    <w:p>
      <w:pPr>
        <w:pStyle w:val="ListBullet"/>
      </w:pPr>
      <w:r>
        <w:t>Lack of VA Past Performance (Prime blocker): Lithe has no documented past performance with the Department of Veterans Affairs.</w:t>
      </w:r>
    </w:p>
    <w:p>
      <w:pPr>
        <w:pStyle w:val="ListBullet"/>
      </w:pPr>
      <w:r>
        <w:t>Insufficient Scale (Prime blocker): Total federal obligations of $2.3M suggest a lack of scale for an enterprise-level VA digital services contract.</w:t>
      </w:r>
    </w:p>
    <w:p>
      <w:pPr>
        <w:pStyle w:val="ListBullet"/>
      </w:pPr>
      <w:r>
        <w:t>Unresolved Key Personnel Qualifications (Prime blocker): Key Personnel Qualifications is still unresolved in the validated evidence set.</w:t>
      </w:r>
    </w:p>
    <w:p>
      <w:pPr>
        <w:pStyle w:val="Heading2"/>
      </w:pPr>
      <w:r>
        <w:t>Requirements at a Glance</w:t>
      </w:r>
    </w:p>
    <w:p>
      <w:r>
        <w:t>This solicitation includes 36 required obligations and 0 attachment-derived requirements.</w:t>
      </w:r>
    </w:p>
    <w:p>
      <w:r>
        <w:t>Top themes</w:t>
      </w:r>
    </w:p>
    <w:p>
      <w:pPr>
        <w:pStyle w:val="ListBullet"/>
      </w:pPr>
      <w:r>
        <w:t>Submit RFI response electronically via email by 3:00 PM EDT on March 25, 2026.</w:t>
      </w:r>
    </w:p>
    <w:p>
      <w:pPr>
        <w:pStyle w:val="ListBullet"/>
      </w:pPr>
      <w:r>
        <w:t>Contractor travel within the local commuting area will not be reimbursed. The Contractor shall provide cost estimates with each travel request to the COR.</w:t>
      </w:r>
    </w:p>
    <w:p>
      <w:pPr>
        <w:pStyle w:val="ListBullet"/>
      </w:pPr>
      <w:r>
        <w:t>Describe experience staffing and managing a minimum of 200 concurrent Scrum teams.</w:t>
      </w:r>
    </w:p>
    <w:p>
      <w:r>
        <w:t>Major submission requirements</w:t>
      </w:r>
    </w:p>
    <w:p>
      <w:pPr>
        <w:pStyle w:val="ListBullet"/>
      </w:pPr>
      <w:r>
        <w:t>Submit RFI response electronically via email by 3:00 PM EDT on March 25, 2026.</w:t>
      </w:r>
    </w:p>
    <w:p>
      <w:pPr>
        <w:pStyle w:val="ListBullet"/>
      </w:pPr>
      <w:r>
        <w:t>Contractor travel within the local commuting area will not be reimbursed. The Contractor shall provide cost estimates with each travel request to the COR.</w:t>
      </w:r>
    </w:p>
    <w:p>
      <w:pPr>
        <w:pStyle w:val="ListBullet"/>
      </w:pPr>
      <w:r>
        <w:t>Submit the proposal by 2026-03-25.</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Department of Veterans Affairs TECHNOLOGY ACQUISITION CENTER NJ (36C10B)</w:t>
            </w:r>
          </w:p>
        </w:tc>
      </w:tr>
      <w:tr>
        <w:tc>
          <w:tcPr>
            <w:tcW w:type="dxa" w:w="5184"/>
          </w:tcPr>
          <w:p>
            <w:r>
              <w:t>Due date</w:t>
            </w:r>
          </w:p>
        </w:tc>
        <w:tc>
          <w:tcPr>
            <w:tcW w:type="dxa" w:w="5184"/>
          </w:tcPr>
          <w:p>
            <w:r>
              <w:t>2026-03-25T15:00:00-04:00</w:t>
            </w:r>
          </w:p>
        </w:tc>
      </w:tr>
    </w:tbl>
    <w:p>
      <w:r>
        <w:t>The VA Office of Information and Technology (OIT) is seeking information for the Enterprise Digital Government Enablement (EDGE) requirement. The scope includes enterprise low code/no code (LCNC) solutions, capability delivery lifecycle management, Agile requirements elaboration, User Centered Design (UCD), DevSecOps, IT operations and maintenance (O&amp;M), and transition services for the VA Digital Transformation Center (DTC).</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Lithe Solutions</w:t>
            </w:r>
          </w:p>
        </w:tc>
      </w:tr>
      <w:tr>
        <w:tc>
          <w:tcPr>
            <w:tcW w:type="dxa" w:w="5184"/>
          </w:tcPr>
          <w:p>
            <w:r>
              <w:t>Core capabilities</w:t>
            </w:r>
          </w:p>
        </w:tc>
        <w:tc>
          <w:tcPr>
            <w:tcW w:type="dxa" w:w="5184"/>
          </w:tcPr>
          <w:p>
            <w:r>
              <w:t>Agile Delivery, Human Centered Design (HCD), Cloud Engineering, DevSecOps, Intelligent Automation (Low Code Solutions)</w:t>
            </w:r>
          </w:p>
        </w:tc>
      </w:tr>
      <w:tr>
        <w:tc>
          <w:tcPr>
            <w:tcW w:type="dxa" w:w="5184"/>
          </w:tcPr>
          <w:p>
            <w:r>
              <w:t>Strengths</w:t>
            </w:r>
          </w:p>
        </w:tc>
        <w:tc>
          <w:tcPr>
            <w:tcW w:type="dxa" w:w="5184"/>
          </w:tcPr>
          <w:p>
            <w:r>
              <w:t>Core capabilities align perfectly with the PWS, Holds highly relevant socio-economic certifications (8(a), WOSB, EDWOSB)</w:t>
            </w:r>
          </w:p>
        </w:tc>
      </w:tr>
      <w:tr>
        <w:tc>
          <w:tcPr>
            <w:tcW w:type="dxa" w:w="5184"/>
          </w:tcPr>
          <w:p>
            <w:r>
              <w:t>Major gaps</w:t>
            </w:r>
          </w:p>
        </w:tc>
        <w:tc>
          <w:tcPr>
            <w:tcW w:type="dxa" w:w="5184"/>
          </w:tcPr>
          <w:p>
            <w:r>
              <w:t>Lack of documented past performance with the Department of Veterans Affairs (VA), Total federal obligations ($2.3M) suggest a lack of scale, No documented clearances or specific VA-required network access experience</w:t>
            </w:r>
          </w:p>
        </w:tc>
      </w:tr>
      <w:tr>
        <w:tc>
          <w:tcPr>
            <w:tcW w:type="dxa" w:w="5184"/>
          </w:tcPr>
          <w:p>
            <w:r>
              <w:t>Business statuses</w:t>
            </w:r>
          </w:p>
        </w:tc>
        <w:tc>
          <w:tcPr>
            <w:tcW w:type="dxa" w:w="5184"/>
          </w:tcPr>
          <w:p>
            <w:r>
              <w:t>Small business, 8(a) is claimed in the canonical company profile but not corroborated in SBA summary, WOSB is claimed in the canonical company profile but not corroborated in SBA summary, EDWOSB is claimed in the canonical company profile but not corroborated in SBA summary</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